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E933B7" w:rsidP="00181DA6">
      <w:pPr>
        <w:spacing w:after="0"/>
        <w:rPr>
          <w:rFonts w:ascii="Arial" w:hAnsi="Arial" w:cs="Arial"/>
          <w:b/>
          <w:sz w:val="24"/>
          <w:szCs w:val="24"/>
        </w:rPr>
      </w:pPr>
      <w:r>
        <w:rPr>
          <w:rFonts w:ascii="Arial" w:hAnsi="Arial" w:cs="Arial"/>
          <w:b/>
          <w:sz w:val="24"/>
          <w:szCs w:val="24"/>
        </w:rPr>
        <w:t xml:space="preserve">Private and Confidential: </w:t>
      </w:r>
      <w:r w:rsidR="00570B98">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843451" w:rsidRDefault="00570B98" w:rsidP="00181DA6">
      <w:pPr>
        <w:spacing w:after="0"/>
        <w:rPr>
          <w:rFonts w:ascii="Arial" w:hAnsi="Arial" w:cs="Arial"/>
          <w:b/>
          <w:bCs/>
          <w:color w:val="FF0000"/>
          <w:sz w:val="24"/>
          <w:szCs w:val="24"/>
        </w:rPr>
      </w:pPr>
      <w:r w:rsidRPr="00843451">
        <w:rPr>
          <w:rFonts w:ascii="Arial" w:hAnsi="Arial" w:cs="Arial"/>
          <w:b/>
          <w:sz w:val="24"/>
          <w:szCs w:val="24"/>
        </w:rPr>
        <w:t>Date:</w:t>
      </w:r>
      <w:r w:rsidR="00BC0B9A" w:rsidRPr="00843451">
        <w:rPr>
          <w:rFonts w:ascii="Arial" w:hAnsi="Arial" w:cs="Arial"/>
          <w:b/>
          <w:sz w:val="24"/>
          <w:szCs w:val="24"/>
        </w:rPr>
        <w:t xml:space="preserve"> </w:t>
      </w:r>
      <w:r w:rsidR="00843451">
        <w:rPr>
          <w:rFonts w:ascii="Arial" w:hAnsi="Arial" w:cs="Arial"/>
          <w:b/>
          <w:sz w:val="24"/>
          <w:szCs w:val="24"/>
        </w:rPr>
        <w:t>27</w:t>
      </w:r>
      <w:r w:rsidR="00843451" w:rsidRPr="00843451">
        <w:rPr>
          <w:rFonts w:ascii="Arial" w:hAnsi="Arial" w:cs="Arial"/>
          <w:b/>
          <w:sz w:val="24"/>
          <w:szCs w:val="24"/>
          <w:vertAlign w:val="superscript"/>
        </w:rPr>
        <w:t>th</w:t>
      </w:r>
      <w:r w:rsidR="00843451">
        <w:rPr>
          <w:rFonts w:ascii="Arial" w:hAnsi="Arial" w:cs="Arial"/>
          <w:b/>
          <w:sz w:val="24"/>
          <w:szCs w:val="24"/>
        </w:rPr>
        <w:t xml:space="preserve"> July 2016</w:t>
      </w:r>
    </w:p>
    <w:p w:rsidR="00181DA6" w:rsidRPr="000C2AEF" w:rsidRDefault="00181DA6" w:rsidP="00181DA6">
      <w:pPr>
        <w:spacing w:after="0"/>
        <w:rPr>
          <w:rFonts w:ascii="Arial" w:hAnsi="Arial" w:cs="Arial"/>
          <w:bCs/>
          <w:color w:val="FF0000"/>
          <w:sz w:val="24"/>
          <w:szCs w:val="24"/>
        </w:rPr>
      </w:pPr>
      <w:bookmarkStart w:id="0" w:name="_GoBack"/>
      <w:bookmarkEnd w:id="0"/>
    </w:p>
    <w:p w:rsidR="00181DA6" w:rsidRPr="00365CCD" w:rsidRDefault="00843451" w:rsidP="00181DA6">
      <w:pPr>
        <w:spacing w:after="0"/>
        <w:rPr>
          <w:rFonts w:ascii="Arial" w:hAnsi="Arial" w:cs="Arial"/>
          <w:b/>
          <w:bCs/>
          <w:sz w:val="24"/>
          <w:szCs w:val="24"/>
        </w:rPr>
      </w:pPr>
      <w:r>
        <w:rPr>
          <w:rFonts w:ascii="Arial" w:hAnsi="Arial" w:cs="Arial"/>
          <w:b/>
          <w:bCs/>
          <w:sz w:val="24"/>
          <w:szCs w:val="24"/>
        </w:rPr>
        <w:t xml:space="preserve">Part 2: </w:t>
      </w:r>
      <w:r w:rsidR="00BC0B9A">
        <w:rPr>
          <w:rFonts w:ascii="Arial" w:hAnsi="Arial" w:cs="Arial"/>
          <w:b/>
          <w:bCs/>
          <w:sz w:val="24"/>
          <w:szCs w:val="24"/>
        </w:rPr>
        <w:t>Lancashire Moving On Project</w:t>
      </w:r>
      <w:r w:rsidR="00181DA6" w:rsidRPr="00365CCD">
        <w:rPr>
          <w:rFonts w:ascii="Arial" w:hAnsi="Arial" w:cs="Arial"/>
          <w:b/>
          <w:bCs/>
          <w:sz w:val="24"/>
          <w:szCs w:val="24"/>
        </w:rPr>
        <w:br/>
      </w:r>
    </w:p>
    <w:p w:rsidR="00181DA6" w:rsidRPr="00843451" w:rsidRDefault="00181DA6" w:rsidP="00843451">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BC0B9A">
        <w:rPr>
          <w:rFonts w:ascii="Arial" w:hAnsi="Arial" w:cs="Arial"/>
          <w:sz w:val="24"/>
          <w:szCs w:val="24"/>
        </w:rPr>
        <w:t>Joan Costello-Smith Head of Externally Funded Programmes</w:t>
      </w:r>
      <w:r w:rsidR="00843451">
        <w:rPr>
          <w:rFonts w:ascii="Arial" w:hAnsi="Arial" w:cs="Arial"/>
          <w:sz w:val="24"/>
          <w:szCs w:val="24"/>
        </w:rPr>
        <w:t xml:space="preserve">, Preston’s College, </w:t>
      </w:r>
      <w:hyperlink r:id="rId9" w:history="1">
        <w:r w:rsidR="000569CE" w:rsidRPr="00B972B8">
          <w:rPr>
            <w:rStyle w:val="Hyperlink"/>
            <w:rFonts w:ascii="Arial" w:hAnsi="Arial" w:cs="Arial"/>
            <w:sz w:val="24"/>
            <w:szCs w:val="24"/>
          </w:rPr>
          <w:t>jcostello-</w:t>
        </w:r>
        <w:r w:rsidR="000569CE" w:rsidRPr="00B972B8">
          <w:rPr>
            <w:rStyle w:val="Hyperlink"/>
            <w:rFonts w:ascii="Arial" w:eastAsia="Times New Roman" w:hAnsi="Arial" w:cs="Arial"/>
            <w:sz w:val="24"/>
            <w:szCs w:val="24"/>
          </w:rPr>
          <w:t>smith@preston.ac.uk</w:t>
        </w:r>
      </w:hyperlink>
      <w:r w:rsidR="007D102C" w:rsidRPr="00B972B8">
        <w:rPr>
          <w:rFonts w:ascii="Arial" w:eastAsia="Times New Roman" w:hAnsi="Arial" w:cs="Arial"/>
          <w:sz w:val="24"/>
          <w:szCs w:val="24"/>
        </w:rPr>
        <w:t xml:space="preserve"> </w:t>
      </w:r>
    </w:p>
    <w:p w:rsidR="00BC0B9A" w:rsidRPr="007D102C" w:rsidRDefault="00BC0B9A" w:rsidP="00843451">
      <w:pPr>
        <w:spacing w:after="0" w:line="240" w:lineRule="auto"/>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843451" w:rsidTr="00BC0B9A">
        <w:trPr>
          <w:trHeight w:val="2691"/>
        </w:trPr>
        <w:tc>
          <w:tcPr>
            <w:tcW w:w="9180" w:type="dxa"/>
          </w:tcPr>
          <w:p w:rsidR="00181DA6" w:rsidRPr="00843451" w:rsidRDefault="00181DA6" w:rsidP="00843451">
            <w:pPr>
              <w:spacing w:after="0" w:line="240" w:lineRule="auto"/>
              <w:jc w:val="both"/>
              <w:rPr>
                <w:rFonts w:ascii="Arial" w:hAnsi="Arial" w:cs="Arial"/>
                <w:b/>
                <w:sz w:val="24"/>
                <w:szCs w:val="24"/>
                <w:u w:val="single"/>
              </w:rPr>
            </w:pPr>
          </w:p>
          <w:p w:rsidR="00181DA6" w:rsidRPr="00843451" w:rsidRDefault="00181DA6" w:rsidP="00843451">
            <w:pPr>
              <w:pStyle w:val="Heading6"/>
              <w:jc w:val="both"/>
              <w:rPr>
                <w:rFonts w:ascii="Arial" w:hAnsi="Arial" w:cs="Arial"/>
                <w:sz w:val="24"/>
                <w:szCs w:val="24"/>
              </w:rPr>
            </w:pPr>
            <w:r w:rsidRPr="00843451">
              <w:rPr>
                <w:rFonts w:ascii="Arial" w:hAnsi="Arial" w:cs="Arial"/>
                <w:sz w:val="24"/>
                <w:szCs w:val="24"/>
              </w:rPr>
              <w:t>Executive Summary</w:t>
            </w:r>
          </w:p>
          <w:p w:rsidR="00B972B8" w:rsidRPr="00843451" w:rsidRDefault="00B972B8" w:rsidP="00843451">
            <w:pPr>
              <w:spacing w:after="0" w:line="240" w:lineRule="auto"/>
              <w:jc w:val="both"/>
              <w:rPr>
                <w:rFonts w:ascii="Arial" w:hAnsi="Arial" w:cs="Arial"/>
                <w:sz w:val="24"/>
                <w:szCs w:val="24"/>
              </w:rPr>
            </w:pPr>
          </w:p>
          <w:p w:rsidR="00932308" w:rsidRPr="00843451" w:rsidRDefault="00932308" w:rsidP="00843451">
            <w:pPr>
              <w:spacing w:after="0" w:line="240" w:lineRule="auto"/>
              <w:jc w:val="both"/>
              <w:rPr>
                <w:rFonts w:ascii="Arial" w:hAnsi="Arial" w:cs="Arial"/>
                <w:sz w:val="24"/>
                <w:szCs w:val="24"/>
              </w:rPr>
            </w:pPr>
            <w:r w:rsidRPr="00843451">
              <w:rPr>
                <w:rFonts w:ascii="Arial" w:hAnsi="Arial" w:cs="Arial"/>
                <w:sz w:val="24"/>
                <w:szCs w:val="24"/>
              </w:rPr>
              <w:t xml:space="preserve">Preston’s College has been awarded the </w:t>
            </w:r>
            <w:r w:rsidR="00E933B7" w:rsidRPr="00843451">
              <w:rPr>
                <w:rFonts w:ascii="Arial" w:hAnsi="Arial" w:cs="Arial"/>
                <w:sz w:val="24"/>
                <w:szCs w:val="24"/>
              </w:rPr>
              <w:t>ESF/</w:t>
            </w:r>
            <w:r w:rsidRPr="00843451">
              <w:rPr>
                <w:rFonts w:ascii="Arial" w:hAnsi="Arial" w:cs="Arial"/>
                <w:sz w:val="24"/>
                <w:szCs w:val="24"/>
              </w:rPr>
              <w:t xml:space="preserve">SFA </w:t>
            </w:r>
            <w:r w:rsidR="00045490" w:rsidRPr="00843451">
              <w:rPr>
                <w:rFonts w:ascii="Arial" w:hAnsi="Arial" w:cs="Arial"/>
                <w:sz w:val="24"/>
                <w:szCs w:val="24"/>
              </w:rPr>
              <w:t xml:space="preserve">NEET </w:t>
            </w:r>
            <w:r w:rsidRPr="00843451">
              <w:rPr>
                <w:rFonts w:ascii="Arial" w:hAnsi="Arial" w:cs="Arial"/>
                <w:sz w:val="24"/>
                <w:szCs w:val="24"/>
              </w:rPr>
              <w:t xml:space="preserve">contract as Lead Accountable Body (LAB), and operating jointly with the Lancashire Employment &amp; Skills Executive </w:t>
            </w:r>
            <w:r w:rsidR="000569CE" w:rsidRPr="00843451">
              <w:rPr>
                <w:rFonts w:ascii="Arial" w:hAnsi="Arial" w:cs="Arial"/>
                <w:sz w:val="24"/>
                <w:szCs w:val="24"/>
              </w:rPr>
              <w:t xml:space="preserve">Partnership </w:t>
            </w:r>
            <w:r w:rsidRPr="00843451">
              <w:rPr>
                <w:rFonts w:ascii="Arial" w:hAnsi="Arial" w:cs="Arial"/>
                <w:sz w:val="24"/>
                <w:szCs w:val="24"/>
              </w:rPr>
              <w:t>(LESEP).</w:t>
            </w:r>
            <w:r w:rsidR="00E933B7" w:rsidRPr="00843451">
              <w:rPr>
                <w:rFonts w:ascii="Arial" w:hAnsi="Arial" w:cs="Arial"/>
                <w:sz w:val="24"/>
                <w:szCs w:val="24"/>
              </w:rPr>
              <w:t xml:space="preserve"> This project </w:t>
            </w:r>
            <w:r w:rsidR="00045490" w:rsidRPr="00843451">
              <w:rPr>
                <w:rFonts w:ascii="Arial" w:hAnsi="Arial" w:cs="Arial"/>
                <w:sz w:val="24"/>
                <w:szCs w:val="24"/>
              </w:rPr>
              <w:t xml:space="preserve">runs until March 2018 and has been branded </w:t>
            </w:r>
            <w:r w:rsidR="000569CE" w:rsidRPr="00843451">
              <w:rPr>
                <w:rFonts w:ascii="Arial" w:hAnsi="Arial" w:cs="Arial"/>
                <w:sz w:val="24"/>
                <w:szCs w:val="24"/>
              </w:rPr>
              <w:t>‘</w:t>
            </w:r>
            <w:r w:rsidR="00045490" w:rsidRPr="00843451">
              <w:rPr>
                <w:rFonts w:ascii="Arial" w:hAnsi="Arial" w:cs="Arial"/>
                <w:sz w:val="24"/>
                <w:szCs w:val="24"/>
              </w:rPr>
              <w:t>Lancashire Moving On</w:t>
            </w:r>
            <w:r w:rsidR="000569CE" w:rsidRPr="00843451">
              <w:rPr>
                <w:rFonts w:ascii="Arial" w:hAnsi="Arial" w:cs="Arial"/>
                <w:sz w:val="24"/>
                <w:szCs w:val="24"/>
              </w:rPr>
              <w:t xml:space="preserve">’ aiming </w:t>
            </w:r>
            <w:r w:rsidR="00E933B7" w:rsidRPr="00843451">
              <w:rPr>
                <w:rFonts w:ascii="Arial" w:hAnsi="Arial" w:cs="Arial"/>
                <w:sz w:val="24"/>
                <w:szCs w:val="24"/>
              </w:rPr>
              <w:t xml:space="preserve">to impact </w:t>
            </w:r>
            <w:r w:rsidR="00045490" w:rsidRPr="00843451">
              <w:rPr>
                <w:rFonts w:ascii="Arial" w:hAnsi="Arial" w:cs="Arial"/>
                <w:sz w:val="24"/>
                <w:szCs w:val="24"/>
              </w:rPr>
              <w:t xml:space="preserve">positively </w:t>
            </w:r>
            <w:r w:rsidR="00E933B7" w:rsidRPr="00843451">
              <w:rPr>
                <w:rFonts w:ascii="Arial" w:hAnsi="Arial" w:cs="Arial"/>
                <w:sz w:val="24"/>
                <w:szCs w:val="24"/>
              </w:rPr>
              <w:t xml:space="preserve">on </w:t>
            </w:r>
            <w:r w:rsidR="00045490" w:rsidRPr="00843451">
              <w:rPr>
                <w:rFonts w:ascii="Arial" w:hAnsi="Arial" w:cs="Arial"/>
                <w:sz w:val="24"/>
                <w:szCs w:val="24"/>
              </w:rPr>
              <w:t xml:space="preserve">a minimum of 2539 </w:t>
            </w:r>
            <w:r w:rsidR="00E933B7" w:rsidRPr="00843451">
              <w:rPr>
                <w:rFonts w:ascii="Arial" w:hAnsi="Arial" w:cs="Arial"/>
                <w:sz w:val="24"/>
                <w:szCs w:val="24"/>
              </w:rPr>
              <w:t>young people in Lancashire who are NEET or at risk of becoming NEET.</w:t>
            </w:r>
          </w:p>
          <w:p w:rsidR="00B972B8" w:rsidRDefault="00E933B7" w:rsidP="00843451">
            <w:pPr>
              <w:spacing w:after="0" w:line="240" w:lineRule="auto"/>
              <w:jc w:val="both"/>
              <w:rPr>
                <w:rFonts w:ascii="Arial" w:hAnsi="Arial" w:cs="Arial"/>
                <w:sz w:val="24"/>
                <w:szCs w:val="24"/>
              </w:rPr>
            </w:pPr>
            <w:r w:rsidRPr="00843451">
              <w:rPr>
                <w:rFonts w:ascii="Arial" w:hAnsi="Arial" w:cs="Arial"/>
                <w:sz w:val="24"/>
                <w:szCs w:val="24"/>
              </w:rPr>
              <w:t>The project will be delivered collaboratively through a broad range of partners and in line with contractual and LEP</w:t>
            </w:r>
            <w:r w:rsidR="00B972B8" w:rsidRPr="00843451">
              <w:rPr>
                <w:rFonts w:ascii="Arial" w:hAnsi="Arial" w:cs="Arial"/>
                <w:sz w:val="24"/>
                <w:szCs w:val="24"/>
              </w:rPr>
              <w:t xml:space="preserve"> specific requirements which aim to ensure that funding is directed to those with multiple barriers to participation in employment, education and training. </w:t>
            </w:r>
          </w:p>
          <w:p w:rsidR="00843451" w:rsidRPr="00843451" w:rsidRDefault="00843451" w:rsidP="00843451">
            <w:pPr>
              <w:spacing w:after="0" w:line="240" w:lineRule="auto"/>
              <w:jc w:val="both"/>
              <w:rPr>
                <w:rFonts w:ascii="Arial" w:hAnsi="Arial" w:cs="Arial"/>
                <w:sz w:val="24"/>
                <w:szCs w:val="24"/>
              </w:rPr>
            </w:pPr>
          </w:p>
          <w:p w:rsidR="00E933B7" w:rsidRPr="00843451" w:rsidRDefault="00B972B8" w:rsidP="00843451">
            <w:pPr>
              <w:spacing w:after="0" w:line="240" w:lineRule="auto"/>
              <w:jc w:val="both"/>
              <w:rPr>
                <w:rFonts w:ascii="Arial" w:hAnsi="Arial" w:cs="Arial"/>
                <w:sz w:val="24"/>
                <w:szCs w:val="24"/>
              </w:rPr>
            </w:pPr>
            <w:r w:rsidRPr="00843451">
              <w:rPr>
                <w:rFonts w:ascii="Arial" w:hAnsi="Arial" w:cs="Arial"/>
                <w:sz w:val="24"/>
                <w:szCs w:val="24"/>
              </w:rPr>
              <w:t xml:space="preserve">Reports will be created by </w:t>
            </w:r>
            <w:r w:rsidR="00E933B7" w:rsidRPr="00843451">
              <w:rPr>
                <w:rFonts w:ascii="Arial" w:hAnsi="Arial" w:cs="Arial"/>
                <w:sz w:val="24"/>
                <w:szCs w:val="24"/>
              </w:rPr>
              <w:t xml:space="preserve">the LAB </w:t>
            </w:r>
            <w:r w:rsidRPr="00843451">
              <w:rPr>
                <w:rFonts w:ascii="Arial" w:hAnsi="Arial" w:cs="Arial"/>
                <w:sz w:val="24"/>
                <w:szCs w:val="24"/>
              </w:rPr>
              <w:t xml:space="preserve">working with LESEP </w:t>
            </w:r>
            <w:r w:rsidR="00E933B7" w:rsidRPr="00843451">
              <w:rPr>
                <w:rFonts w:ascii="Arial" w:hAnsi="Arial" w:cs="Arial"/>
                <w:sz w:val="24"/>
                <w:szCs w:val="24"/>
              </w:rPr>
              <w:t xml:space="preserve">and will be presented to the Youth Steering Group through to the Skills and Employment Board and ESIF Thematic Group. </w:t>
            </w:r>
          </w:p>
          <w:p w:rsidR="00B972B8" w:rsidRPr="00843451" w:rsidRDefault="00B972B8" w:rsidP="00843451">
            <w:pPr>
              <w:spacing w:after="0" w:line="240" w:lineRule="auto"/>
              <w:rPr>
                <w:rFonts w:ascii="Arial" w:hAnsi="Arial" w:cs="Arial"/>
                <w:b/>
                <w:sz w:val="24"/>
                <w:szCs w:val="24"/>
              </w:rPr>
            </w:pPr>
          </w:p>
          <w:p w:rsidR="00181DA6" w:rsidRDefault="007D102C" w:rsidP="00843451">
            <w:pPr>
              <w:spacing w:after="0" w:line="240" w:lineRule="auto"/>
              <w:rPr>
                <w:rFonts w:ascii="Arial" w:hAnsi="Arial" w:cs="Arial"/>
                <w:b/>
                <w:sz w:val="24"/>
                <w:szCs w:val="24"/>
              </w:rPr>
            </w:pPr>
            <w:r w:rsidRPr="00843451">
              <w:rPr>
                <w:rFonts w:ascii="Arial" w:hAnsi="Arial" w:cs="Arial"/>
                <w:b/>
                <w:sz w:val="24"/>
                <w:szCs w:val="24"/>
              </w:rPr>
              <w:t>Recommendations</w:t>
            </w:r>
          </w:p>
          <w:p w:rsidR="00843451" w:rsidRPr="00843451" w:rsidRDefault="00843451" w:rsidP="00843451">
            <w:pPr>
              <w:spacing w:after="0" w:line="240" w:lineRule="auto"/>
              <w:rPr>
                <w:rFonts w:ascii="Arial" w:hAnsi="Arial" w:cs="Arial"/>
                <w:sz w:val="24"/>
                <w:szCs w:val="24"/>
              </w:rPr>
            </w:pPr>
          </w:p>
          <w:p w:rsidR="00E933B7" w:rsidRPr="00843451" w:rsidRDefault="00E933B7" w:rsidP="00843451">
            <w:pPr>
              <w:spacing w:after="0" w:line="240" w:lineRule="auto"/>
              <w:rPr>
                <w:rFonts w:ascii="Arial" w:hAnsi="Arial" w:cs="Arial"/>
                <w:sz w:val="24"/>
                <w:szCs w:val="24"/>
              </w:rPr>
            </w:pPr>
            <w:r w:rsidRPr="00843451">
              <w:rPr>
                <w:rFonts w:ascii="Arial" w:hAnsi="Arial" w:cs="Arial"/>
                <w:sz w:val="24"/>
                <w:szCs w:val="24"/>
              </w:rPr>
              <w:t>That t</w:t>
            </w:r>
            <w:r w:rsidR="000569CE" w:rsidRPr="00843451">
              <w:rPr>
                <w:rFonts w:ascii="Arial" w:hAnsi="Arial" w:cs="Arial"/>
                <w:sz w:val="24"/>
                <w:szCs w:val="24"/>
              </w:rPr>
              <w:t>he Board considers and notes</w:t>
            </w:r>
            <w:r w:rsidRPr="00843451">
              <w:rPr>
                <w:rFonts w:ascii="Arial" w:hAnsi="Arial" w:cs="Arial"/>
                <w:sz w:val="24"/>
                <w:szCs w:val="24"/>
              </w:rPr>
              <w:t>:</w:t>
            </w:r>
          </w:p>
          <w:p w:rsidR="00E933B7" w:rsidRPr="00843451" w:rsidRDefault="00E933B7" w:rsidP="00843451">
            <w:pPr>
              <w:pStyle w:val="ListParagraph"/>
              <w:numPr>
                <w:ilvl w:val="0"/>
                <w:numId w:val="46"/>
              </w:numPr>
              <w:spacing w:after="0" w:line="240" w:lineRule="auto"/>
              <w:rPr>
                <w:rFonts w:ascii="Arial" w:hAnsi="Arial" w:cs="Arial"/>
                <w:sz w:val="24"/>
                <w:szCs w:val="24"/>
              </w:rPr>
            </w:pPr>
            <w:r w:rsidRPr="00843451">
              <w:rPr>
                <w:rFonts w:ascii="Arial" w:hAnsi="Arial" w:cs="Arial"/>
                <w:sz w:val="24"/>
                <w:szCs w:val="24"/>
              </w:rPr>
              <w:t>The over commitment model adopted in line with an early bid for growth</w:t>
            </w:r>
          </w:p>
          <w:p w:rsidR="00E933B7" w:rsidRDefault="00E933B7" w:rsidP="00843451">
            <w:pPr>
              <w:pStyle w:val="ListParagraph"/>
              <w:numPr>
                <w:ilvl w:val="0"/>
                <w:numId w:val="46"/>
              </w:numPr>
              <w:spacing w:after="0" w:line="240" w:lineRule="auto"/>
              <w:rPr>
                <w:rFonts w:ascii="Arial" w:hAnsi="Arial" w:cs="Arial"/>
                <w:sz w:val="24"/>
                <w:szCs w:val="24"/>
              </w:rPr>
            </w:pPr>
            <w:r w:rsidRPr="00843451">
              <w:rPr>
                <w:rFonts w:ascii="Arial" w:hAnsi="Arial" w:cs="Arial"/>
                <w:sz w:val="24"/>
                <w:szCs w:val="24"/>
              </w:rPr>
              <w:t xml:space="preserve">The initial reporting outline </w:t>
            </w:r>
          </w:p>
          <w:p w:rsidR="00843451" w:rsidRPr="00843451" w:rsidRDefault="00843451" w:rsidP="00843451">
            <w:pPr>
              <w:pStyle w:val="ListParagraph"/>
              <w:spacing w:after="0" w:line="240" w:lineRule="auto"/>
              <w:rPr>
                <w:rFonts w:ascii="Arial" w:hAnsi="Arial" w:cs="Arial"/>
                <w:sz w:val="24"/>
                <w:szCs w:val="24"/>
              </w:rPr>
            </w:pPr>
          </w:p>
          <w:p w:rsidR="000569CE" w:rsidRPr="00843451" w:rsidRDefault="000569CE" w:rsidP="00843451">
            <w:pPr>
              <w:spacing w:after="0" w:line="240" w:lineRule="auto"/>
              <w:rPr>
                <w:rFonts w:ascii="Arial" w:hAnsi="Arial" w:cs="Arial"/>
                <w:sz w:val="24"/>
                <w:szCs w:val="24"/>
              </w:rPr>
            </w:pPr>
            <w:r w:rsidRPr="00843451">
              <w:rPr>
                <w:rFonts w:ascii="Arial" w:hAnsi="Arial" w:cs="Arial"/>
                <w:sz w:val="24"/>
                <w:szCs w:val="24"/>
              </w:rPr>
              <w:t xml:space="preserve"> That the Board considers and approves:</w:t>
            </w:r>
          </w:p>
          <w:p w:rsidR="00E933B7" w:rsidRPr="00843451" w:rsidRDefault="000569CE" w:rsidP="00843451">
            <w:pPr>
              <w:pStyle w:val="ListParagraph"/>
              <w:numPr>
                <w:ilvl w:val="0"/>
                <w:numId w:val="46"/>
              </w:numPr>
              <w:spacing w:after="0" w:line="240" w:lineRule="auto"/>
              <w:rPr>
                <w:rFonts w:ascii="Arial" w:hAnsi="Arial" w:cs="Arial"/>
                <w:sz w:val="24"/>
                <w:szCs w:val="24"/>
              </w:rPr>
            </w:pPr>
            <w:r w:rsidRPr="00843451">
              <w:rPr>
                <w:rFonts w:ascii="Arial" w:hAnsi="Arial" w:cs="Arial"/>
                <w:sz w:val="24"/>
                <w:szCs w:val="24"/>
              </w:rPr>
              <w:t>The Capacity Building P</w:t>
            </w:r>
            <w:r w:rsidR="00882260" w:rsidRPr="00843451">
              <w:rPr>
                <w:rFonts w:ascii="Arial" w:hAnsi="Arial" w:cs="Arial"/>
                <w:sz w:val="24"/>
                <w:szCs w:val="24"/>
              </w:rPr>
              <w:t>lan outline</w:t>
            </w:r>
          </w:p>
          <w:p w:rsidR="00570B98" w:rsidRPr="00843451" w:rsidRDefault="00570B98" w:rsidP="00843451">
            <w:pPr>
              <w:spacing w:after="0" w:line="240" w:lineRule="auto"/>
              <w:rPr>
                <w:rFonts w:ascii="Arial" w:hAnsi="Arial" w:cs="Arial"/>
                <w:sz w:val="24"/>
                <w:szCs w:val="24"/>
              </w:rPr>
            </w:pPr>
          </w:p>
        </w:tc>
      </w:tr>
    </w:tbl>
    <w:p w:rsidR="00570B98" w:rsidRPr="00843451" w:rsidRDefault="00570B98" w:rsidP="00843451">
      <w:pPr>
        <w:spacing w:after="0" w:line="240" w:lineRule="auto"/>
        <w:jc w:val="both"/>
        <w:rPr>
          <w:rFonts w:ascii="Arial" w:hAnsi="Arial" w:cs="Arial"/>
          <w:sz w:val="24"/>
          <w:szCs w:val="24"/>
        </w:rPr>
      </w:pPr>
    </w:p>
    <w:p w:rsidR="00BC0B9A" w:rsidRDefault="00EB26C1" w:rsidP="00843451">
      <w:pPr>
        <w:pStyle w:val="ListParagraph"/>
        <w:numPr>
          <w:ilvl w:val="1"/>
          <w:numId w:val="30"/>
        </w:numPr>
        <w:tabs>
          <w:tab w:val="left" w:pos="993"/>
        </w:tabs>
        <w:spacing w:after="0" w:line="240" w:lineRule="auto"/>
        <w:ind w:left="567" w:hanging="567"/>
        <w:jc w:val="both"/>
        <w:rPr>
          <w:rFonts w:ascii="Arial" w:hAnsi="Arial" w:cs="Arial"/>
          <w:b/>
          <w:sz w:val="24"/>
          <w:szCs w:val="24"/>
        </w:rPr>
      </w:pPr>
      <w:r w:rsidRPr="00843451">
        <w:rPr>
          <w:rFonts w:ascii="Arial" w:hAnsi="Arial" w:cs="Arial"/>
          <w:b/>
          <w:sz w:val="24"/>
          <w:szCs w:val="24"/>
        </w:rPr>
        <w:t xml:space="preserve">    </w:t>
      </w:r>
      <w:r w:rsidR="0078130C" w:rsidRPr="00843451">
        <w:rPr>
          <w:rFonts w:ascii="Arial" w:hAnsi="Arial" w:cs="Arial"/>
          <w:b/>
          <w:sz w:val="24"/>
          <w:szCs w:val="24"/>
        </w:rPr>
        <w:t>ESF funded activity to support those who are NEET in Lancashire</w:t>
      </w:r>
    </w:p>
    <w:p w:rsidR="00843451" w:rsidRPr="00843451" w:rsidRDefault="00843451" w:rsidP="00843451">
      <w:pPr>
        <w:pStyle w:val="ListParagraph"/>
        <w:tabs>
          <w:tab w:val="left" w:pos="993"/>
        </w:tabs>
        <w:spacing w:after="0" w:line="240" w:lineRule="auto"/>
        <w:ind w:left="567"/>
        <w:jc w:val="both"/>
        <w:rPr>
          <w:rFonts w:ascii="Arial" w:hAnsi="Arial" w:cs="Arial"/>
          <w:b/>
          <w:sz w:val="24"/>
          <w:szCs w:val="24"/>
        </w:rPr>
      </w:pPr>
    </w:p>
    <w:p w:rsidR="00ED5BD3" w:rsidRDefault="00ED5BD3" w:rsidP="00843451">
      <w:pPr>
        <w:spacing w:after="0" w:line="240" w:lineRule="auto"/>
        <w:jc w:val="both"/>
        <w:rPr>
          <w:rFonts w:ascii="Arial" w:hAnsi="Arial" w:cs="Arial"/>
          <w:sz w:val="24"/>
          <w:szCs w:val="24"/>
        </w:rPr>
      </w:pPr>
      <w:r w:rsidRPr="00843451">
        <w:rPr>
          <w:rFonts w:ascii="Arial" w:hAnsi="Arial" w:cs="Arial"/>
          <w:sz w:val="24"/>
          <w:szCs w:val="24"/>
        </w:rPr>
        <w:t xml:space="preserve">Though the SFA commissioning round for ESF funded activity to support those who are NEET in Lancashire, </w:t>
      </w:r>
      <w:r w:rsidR="00BC0B9A" w:rsidRPr="00843451">
        <w:rPr>
          <w:rFonts w:ascii="Arial" w:hAnsi="Arial" w:cs="Arial"/>
          <w:sz w:val="24"/>
          <w:szCs w:val="24"/>
        </w:rPr>
        <w:t>Preston’s College has been awarded the contract as Lead Accountable Body (LA</w:t>
      </w:r>
      <w:r w:rsidRPr="00843451">
        <w:rPr>
          <w:rFonts w:ascii="Arial" w:hAnsi="Arial" w:cs="Arial"/>
          <w:sz w:val="24"/>
          <w:szCs w:val="24"/>
        </w:rPr>
        <w:t xml:space="preserve">B), </w:t>
      </w:r>
      <w:r w:rsidR="00BC0B9A" w:rsidRPr="00843451">
        <w:rPr>
          <w:rFonts w:ascii="Arial" w:hAnsi="Arial" w:cs="Arial"/>
          <w:sz w:val="24"/>
          <w:szCs w:val="24"/>
        </w:rPr>
        <w:t>subcontracting to a network of 23 Lancashire providers comprising the FE Colleges, Independent Training Providers and specialist</w:t>
      </w:r>
      <w:r w:rsidR="000569CE" w:rsidRPr="00843451">
        <w:rPr>
          <w:rFonts w:ascii="Arial" w:hAnsi="Arial" w:cs="Arial"/>
          <w:sz w:val="24"/>
          <w:szCs w:val="24"/>
        </w:rPr>
        <w:t xml:space="preserve"> partners, operating jointly through </w:t>
      </w:r>
      <w:r w:rsidR="00BC0B9A" w:rsidRPr="00843451">
        <w:rPr>
          <w:rFonts w:ascii="Arial" w:hAnsi="Arial" w:cs="Arial"/>
          <w:sz w:val="24"/>
          <w:szCs w:val="24"/>
        </w:rPr>
        <w:t xml:space="preserve">the Lancashire Employment &amp; Skills Executive </w:t>
      </w:r>
      <w:r w:rsidR="000569CE" w:rsidRPr="00843451">
        <w:rPr>
          <w:rFonts w:ascii="Arial" w:hAnsi="Arial" w:cs="Arial"/>
          <w:sz w:val="24"/>
          <w:szCs w:val="24"/>
        </w:rPr>
        <w:t>Partnership</w:t>
      </w:r>
      <w:r w:rsidR="008E7766" w:rsidRPr="00843451">
        <w:rPr>
          <w:rFonts w:ascii="Arial" w:hAnsi="Arial" w:cs="Arial"/>
          <w:sz w:val="24"/>
          <w:szCs w:val="24"/>
        </w:rPr>
        <w:t xml:space="preserve"> </w:t>
      </w:r>
      <w:r w:rsidR="00BC0B9A" w:rsidRPr="00843451">
        <w:rPr>
          <w:rFonts w:ascii="Arial" w:hAnsi="Arial" w:cs="Arial"/>
          <w:sz w:val="24"/>
          <w:szCs w:val="24"/>
        </w:rPr>
        <w:lastRenderedPageBreak/>
        <w:t xml:space="preserve">(LESEP). </w:t>
      </w:r>
      <w:r w:rsidR="000569CE" w:rsidRPr="00843451">
        <w:rPr>
          <w:rFonts w:ascii="Arial" w:hAnsi="Arial" w:cs="Arial"/>
          <w:sz w:val="24"/>
          <w:szCs w:val="24"/>
        </w:rPr>
        <w:t>LESEP comprises T</w:t>
      </w:r>
      <w:r w:rsidRPr="00843451">
        <w:rPr>
          <w:rFonts w:ascii="Arial" w:hAnsi="Arial" w:cs="Arial"/>
          <w:sz w:val="24"/>
          <w:szCs w:val="24"/>
        </w:rPr>
        <w:t xml:space="preserve">he Lancashire Colleges and </w:t>
      </w:r>
      <w:r w:rsidR="000569CE" w:rsidRPr="00843451">
        <w:rPr>
          <w:rFonts w:ascii="Arial" w:hAnsi="Arial" w:cs="Arial"/>
          <w:sz w:val="24"/>
          <w:szCs w:val="24"/>
        </w:rPr>
        <w:t xml:space="preserve">The </w:t>
      </w:r>
      <w:r w:rsidRPr="00843451">
        <w:rPr>
          <w:rFonts w:ascii="Arial" w:hAnsi="Arial" w:cs="Arial"/>
          <w:sz w:val="24"/>
          <w:szCs w:val="24"/>
        </w:rPr>
        <w:t xml:space="preserve">Lancashire Work Based Learning Executive Forum. </w:t>
      </w:r>
    </w:p>
    <w:p w:rsidR="00843451" w:rsidRPr="00843451" w:rsidRDefault="00843451" w:rsidP="00843451">
      <w:pPr>
        <w:spacing w:after="0" w:line="240" w:lineRule="auto"/>
        <w:jc w:val="both"/>
        <w:rPr>
          <w:rFonts w:ascii="Arial" w:hAnsi="Arial" w:cs="Arial"/>
          <w:sz w:val="24"/>
          <w:szCs w:val="24"/>
        </w:rPr>
      </w:pPr>
    </w:p>
    <w:p w:rsidR="00E073A7" w:rsidRDefault="00E073A7" w:rsidP="00843451">
      <w:pPr>
        <w:spacing w:after="0" w:line="240" w:lineRule="auto"/>
        <w:jc w:val="both"/>
        <w:rPr>
          <w:rFonts w:ascii="Arial" w:hAnsi="Arial" w:cs="Arial"/>
          <w:sz w:val="24"/>
          <w:szCs w:val="24"/>
        </w:rPr>
      </w:pPr>
      <w:r w:rsidRPr="00843451">
        <w:rPr>
          <w:rFonts w:ascii="Arial" w:hAnsi="Arial" w:cs="Arial"/>
          <w:sz w:val="24"/>
          <w:szCs w:val="24"/>
        </w:rPr>
        <w:t>See Appendix 1</w:t>
      </w:r>
      <w:r w:rsidR="00045490" w:rsidRPr="00843451">
        <w:rPr>
          <w:rFonts w:ascii="Arial" w:hAnsi="Arial" w:cs="Arial"/>
          <w:sz w:val="24"/>
          <w:szCs w:val="24"/>
        </w:rPr>
        <w:t xml:space="preserve"> (Subcontracting Spreadsheet)</w:t>
      </w:r>
    </w:p>
    <w:p w:rsidR="00843451" w:rsidRPr="00843451" w:rsidRDefault="00843451" w:rsidP="00843451">
      <w:pPr>
        <w:spacing w:after="0" w:line="240" w:lineRule="auto"/>
        <w:jc w:val="both"/>
        <w:rPr>
          <w:rFonts w:ascii="Arial" w:hAnsi="Arial" w:cs="Arial"/>
          <w:sz w:val="24"/>
          <w:szCs w:val="24"/>
        </w:rPr>
      </w:pPr>
    </w:p>
    <w:p w:rsidR="00ED5BD3" w:rsidRDefault="00ED5BD3" w:rsidP="00843451">
      <w:pPr>
        <w:spacing w:after="0" w:line="240" w:lineRule="auto"/>
        <w:jc w:val="both"/>
        <w:rPr>
          <w:rFonts w:ascii="Arial" w:hAnsi="Arial" w:cs="Arial"/>
          <w:sz w:val="24"/>
          <w:szCs w:val="24"/>
        </w:rPr>
      </w:pPr>
      <w:r w:rsidRPr="00843451">
        <w:rPr>
          <w:rFonts w:ascii="Arial" w:hAnsi="Arial" w:cs="Arial"/>
          <w:sz w:val="24"/>
          <w:szCs w:val="24"/>
        </w:rPr>
        <w:t xml:space="preserve">The contract covers the full Lancashire LEP area and runs from </w:t>
      </w:r>
      <w:r w:rsidR="0078130C" w:rsidRPr="00843451">
        <w:rPr>
          <w:rFonts w:ascii="Arial" w:hAnsi="Arial" w:cs="Arial"/>
          <w:sz w:val="24"/>
          <w:szCs w:val="24"/>
        </w:rPr>
        <w:t xml:space="preserve">May 2016 to </w:t>
      </w:r>
      <w:r w:rsidRPr="00843451">
        <w:rPr>
          <w:rFonts w:ascii="Arial" w:hAnsi="Arial" w:cs="Arial"/>
          <w:sz w:val="24"/>
          <w:szCs w:val="24"/>
        </w:rPr>
        <w:t>Mar 2018</w:t>
      </w:r>
      <w:r w:rsidR="0078130C" w:rsidRPr="00843451">
        <w:rPr>
          <w:rFonts w:ascii="Arial" w:hAnsi="Arial" w:cs="Arial"/>
          <w:sz w:val="24"/>
          <w:szCs w:val="24"/>
        </w:rPr>
        <w:t>.</w:t>
      </w:r>
    </w:p>
    <w:p w:rsidR="00843451" w:rsidRPr="00843451" w:rsidRDefault="00843451" w:rsidP="00843451">
      <w:pPr>
        <w:spacing w:after="0" w:line="240" w:lineRule="auto"/>
        <w:jc w:val="both"/>
        <w:rPr>
          <w:rFonts w:ascii="Arial" w:hAnsi="Arial" w:cs="Arial"/>
          <w:sz w:val="24"/>
          <w:szCs w:val="24"/>
        </w:rPr>
      </w:pPr>
    </w:p>
    <w:p w:rsidR="0078130C" w:rsidRDefault="00045490" w:rsidP="00843451">
      <w:pPr>
        <w:spacing w:after="0" w:line="240" w:lineRule="auto"/>
        <w:jc w:val="both"/>
        <w:rPr>
          <w:rFonts w:ascii="Arial" w:hAnsi="Arial" w:cs="Arial"/>
          <w:sz w:val="24"/>
          <w:szCs w:val="24"/>
        </w:rPr>
      </w:pPr>
      <w:r w:rsidRPr="00843451">
        <w:rPr>
          <w:rFonts w:ascii="Arial" w:hAnsi="Arial" w:cs="Arial"/>
          <w:sz w:val="24"/>
          <w:szCs w:val="24"/>
        </w:rPr>
        <w:t xml:space="preserve">Preston’s </w:t>
      </w:r>
      <w:r w:rsidR="0078130C" w:rsidRPr="00843451">
        <w:rPr>
          <w:rFonts w:ascii="Arial" w:hAnsi="Arial" w:cs="Arial"/>
          <w:sz w:val="24"/>
          <w:szCs w:val="24"/>
        </w:rPr>
        <w:t>College and LESEP have undertaken significant preparatory work to establish a pan Lancashire delivery infrastr</w:t>
      </w:r>
      <w:r w:rsidRPr="00843451">
        <w:rPr>
          <w:rFonts w:ascii="Arial" w:hAnsi="Arial" w:cs="Arial"/>
          <w:sz w:val="24"/>
          <w:szCs w:val="24"/>
        </w:rPr>
        <w:t xml:space="preserve">ucture including Due Diligence and initial partner </w:t>
      </w:r>
      <w:r w:rsidR="0078130C" w:rsidRPr="00843451">
        <w:rPr>
          <w:rFonts w:ascii="Arial" w:hAnsi="Arial" w:cs="Arial"/>
          <w:sz w:val="24"/>
          <w:szCs w:val="24"/>
        </w:rPr>
        <w:t xml:space="preserve">profiling and </w:t>
      </w:r>
      <w:r w:rsidRPr="00843451">
        <w:rPr>
          <w:rFonts w:ascii="Arial" w:hAnsi="Arial" w:cs="Arial"/>
          <w:sz w:val="24"/>
          <w:szCs w:val="24"/>
        </w:rPr>
        <w:t xml:space="preserve">contracting, and providing </w:t>
      </w:r>
      <w:r w:rsidR="0078130C" w:rsidRPr="00843451">
        <w:rPr>
          <w:rFonts w:ascii="Arial" w:hAnsi="Arial" w:cs="Arial"/>
          <w:sz w:val="24"/>
          <w:szCs w:val="24"/>
        </w:rPr>
        <w:t>ongoing guidance for delivery partners. Electronic and paper based syst</w:t>
      </w:r>
      <w:r w:rsidR="00760396" w:rsidRPr="00843451">
        <w:rPr>
          <w:rFonts w:ascii="Arial" w:hAnsi="Arial" w:cs="Arial"/>
          <w:sz w:val="24"/>
          <w:szCs w:val="24"/>
        </w:rPr>
        <w:t>ems and procedures are in place. These are now</w:t>
      </w:r>
      <w:r w:rsidR="008E7766" w:rsidRPr="00843451">
        <w:rPr>
          <w:rFonts w:ascii="Arial" w:hAnsi="Arial" w:cs="Arial"/>
          <w:sz w:val="24"/>
          <w:szCs w:val="24"/>
        </w:rPr>
        <w:t xml:space="preserve"> approved by the SFA, </w:t>
      </w:r>
      <w:r w:rsidR="0078130C" w:rsidRPr="00843451">
        <w:rPr>
          <w:rFonts w:ascii="Arial" w:hAnsi="Arial" w:cs="Arial"/>
          <w:sz w:val="24"/>
          <w:szCs w:val="24"/>
        </w:rPr>
        <w:t>support</w:t>
      </w:r>
      <w:r w:rsidR="008E7766" w:rsidRPr="00843451">
        <w:rPr>
          <w:rFonts w:ascii="Arial" w:hAnsi="Arial" w:cs="Arial"/>
          <w:sz w:val="24"/>
          <w:szCs w:val="24"/>
        </w:rPr>
        <w:t>ing</w:t>
      </w:r>
      <w:r w:rsidR="0078130C" w:rsidRPr="00843451">
        <w:rPr>
          <w:rFonts w:ascii="Arial" w:hAnsi="Arial" w:cs="Arial"/>
          <w:sz w:val="24"/>
          <w:szCs w:val="24"/>
        </w:rPr>
        <w:t xml:space="preserve"> timely and accurate transfer of data and</w:t>
      </w:r>
      <w:r w:rsidR="008E7766" w:rsidRPr="00843451">
        <w:rPr>
          <w:rFonts w:ascii="Arial" w:hAnsi="Arial" w:cs="Arial"/>
          <w:sz w:val="24"/>
          <w:szCs w:val="24"/>
        </w:rPr>
        <w:t xml:space="preserve"> paper based information and facilitating</w:t>
      </w:r>
      <w:r w:rsidR="0078130C" w:rsidRPr="00843451">
        <w:rPr>
          <w:rFonts w:ascii="Arial" w:hAnsi="Arial" w:cs="Arial"/>
          <w:sz w:val="24"/>
          <w:szCs w:val="24"/>
        </w:rPr>
        <w:t xml:space="preserve"> performance and quality monitoring and reporting. </w:t>
      </w:r>
    </w:p>
    <w:p w:rsidR="00843451" w:rsidRPr="00843451" w:rsidRDefault="00843451" w:rsidP="00843451">
      <w:pPr>
        <w:spacing w:after="0" w:line="240" w:lineRule="auto"/>
        <w:jc w:val="both"/>
        <w:rPr>
          <w:rFonts w:ascii="Arial" w:hAnsi="Arial" w:cs="Arial"/>
          <w:sz w:val="24"/>
          <w:szCs w:val="24"/>
        </w:rPr>
      </w:pPr>
    </w:p>
    <w:p w:rsidR="00A302ED" w:rsidRPr="00843451" w:rsidRDefault="00EB26C1" w:rsidP="00843451">
      <w:pPr>
        <w:pStyle w:val="ListParagraph"/>
        <w:numPr>
          <w:ilvl w:val="0"/>
          <w:numId w:val="40"/>
        </w:numPr>
        <w:tabs>
          <w:tab w:val="left" w:pos="567"/>
        </w:tabs>
        <w:spacing w:after="0" w:line="240" w:lineRule="auto"/>
        <w:ind w:left="709" w:hanging="709"/>
        <w:rPr>
          <w:rFonts w:ascii="Arial" w:hAnsi="Arial" w:cs="Arial"/>
          <w:b/>
          <w:sz w:val="24"/>
          <w:szCs w:val="24"/>
        </w:rPr>
      </w:pPr>
      <w:r w:rsidRPr="00843451">
        <w:rPr>
          <w:rFonts w:ascii="Arial" w:hAnsi="Arial" w:cs="Arial"/>
          <w:b/>
          <w:sz w:val="24"/>
          <w:szCs w:val="24"/>
        </w:rPr>
        <w:t xml:space="preserve">    </w:t>
      </w:r>
      <w:r w:rsidR="0078130C" w:rsidRPr="00843451">
        <w:rPr>
          <w:rFonts w:ascii="Arial" w:hAnsi="Arial" w:cs="Arial"/>
          <w:b/>
          <w:sz w:val="24"/>
          <w:szCs w:val="24"/>
        </w:rPr>
        <w:t xml:space="preserve">Lancashire Moving On Programme </w:t>
      </w:r>
    </w:p>
    <w:p w:rsidR="00BC0B9A" w:rsidRPr="00843451" w:rsidRDefault="00EB26C1" w:rsidP="00843451">
      <w:pPr>
        <w:spacing w:after="0" w:line="240" w:lineRule="auto"/>
        <w:rPr>
          <w:rFonts w:ascii="Arial" w:hAnsi="Arial" w:cs="Arial"/>
          <w:b/>
          <w:sz w:val="24"/>
          <w:szCs w:val="24"/>
        </w:rPr>
      </w:pPr>
      <w:r w:rsidRPr="00843451">
        <w:rPr>
          <w:rFonts w:ascii="Arial" w:hAnsi="Arial" w:cs="Arial"/>
          <w:b/>
          <w:sz w:val="24"/>
          <w:szCs w:val="24"/>
        </w:rPr>
        <w:t>Delivery and Outcomes</w:t>
      </w:r>
    </w:p>
    <w:tbl>
      <w:tblPr>
        <w:tblW w:w="9594" w:type="dxa"/>
        <w:tblBorders>
          <w:top w:val="single" w:sz="8" w:space="0" w:color="000000"/>
          <w:bottom w:val="single" w:sz="8" w:space="0" w:color="000000"/>
        </w:tblBorders>
        <w:tblLook w:val="04A0" w:firstRow="1" w:lastRow="0" w:firstColumn="1" w:lastColumn="0" w:noHBand="0" w:noVBand="1"/>
      </w:tblPr>
      <w:tblGrid>
        <w:gridCol w:w="4439"/>
        <w:gridCol w:w="1710"/>
        <w:gridCol w:w="1631"/>
        <w:gridCol w:w="1814"/>
      </w:tblGrid>
      <w:tr w:rsidR="00BC0B9A" w:rsidRPr="00843451" w:rsidTr="00B94684">
        <w:trPr>
          <w:trHeight w:val="103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sz w:val="24"/>
                <w:szCs w:val="24"/>
              </w:rPr>
            </w:pPr>
          </w:p>
        </w:tc>
        <w:tc>
          <w:tcPr>
            <w:tcW w:w="1716" w:type="dxa"/>
            <w:shd w:val="clear" w:color="auto" w:fill="BDD6EE" w:themeFill="accent1" w:themeFillTint="66"/>
          </w:tcPr>
          <w:p w:rsidR="00B94684" w:rsidRPr="00843451" w:rsidRDefault="00BC0B9A" w:rsidP="00843451">
            <w:pPr>
              <w:spacing w:after="0" w:line="240" w:lineRule="auto"/>
              <w:jc w:val="center"/>
              <w:rPr>
                <w:rFonts w:ascii="Arial" w:hAnsi="Arial" w:cs="Arial"/>
                <w:b/>
                <w:sz w:val="24"/>
                <w:szCs w:val="24"/>
              </w:rPr>
            </w:pPr>
            <w:r w:rsidRPr="00843451">
              <w:rPr>
                <w:rFonts w:ascii="Arial" w:hAnsi="Arial" w:cs="Arial"/>
                <w:b/>
                <w:sz w:val="24"/>
                <w:szCs w:val="24"/>
              </w:rPr>
              <w:t>Lancashire</w:t>
            </w:r>
          </w:p>
          <w:p w:rsidR="00BC0B9A" w:rsidRPr="00843451" w:rsidRDefault="00BC0B9A" w:rsidP="00843451">
            <w:pPr>
              <w:spacing w:after="0" w:line="240" w:lineRule="auto"/>
              <w:jc w:val="center"/>
              <w:rPr>
                <w:rFonts w:ascii="Arial" w:hAnsi="Arial" w:cs="Arial"/>
                <w:b/>
                <w:sz w:val="24"/>
                <w:szCs w:val="24"/>
              </w:rPr>
            </w:pPr>
            <w:r w:rsidRPr="00843451">
              <w:rPr>
                <w:rFonts w:ascii="Arial" w:hAnsi="Arial" w:cs="Arial"/>
                <w:b/>
                <w:sz w:val="24"/>
                <w:szCs w:val="24"/>
              </w:rPr>
              <w:t>Volumes</w:t>
            </w:r>
          </w:p>
        </w:tc>
        <w:tc>
          <w:tcPr>
            <w:tcW w:w="1521" w:type="dxa"/>
            <w:shd w:val="clear" w:color="auto" w:fill="BDD6EE" w:themeFill="accent1" w:themeFillTint="66"/>
          </w:tcPr>
          <w:p w:rsidR="00B94684" w:rsidRPr="00843451" w:rsidRDefault="00BC0B9A" w:rsidP="00843451">
            <w:pPr>
              <w:spacing w:after="0" w:line="240" w:lineRule="auto"/>
              <w:jc w:val="center"/>
              <w:rPr>
                <w:rFonts w:ascii="Arial" w:hAnsi="Arial" w:cs="Arial"/>
                <w:b/>
                <w:sz w:val="24"/>
                <w:szCs w:val="24"/>
              </w:rPr>
            </w:pPr>
            <w:r w:rsidRPr="00843451">
              <w:rPr>
                <w:rFonts w:ascii="Arial" w:hAnsi="Arial" w:cs="Arial"/>
                <w:b/>
                <w:sz w:val="24"/>
                <w:szCs w:val="24"/>
              </w:rPr>
              <w:t>Deliverables</w:t>
            </w:r>
          </w:p>
          <w:p w:rsidR="00BC0B9A" w:rsidRPr="00843451" w:rsidRDefault="00BC0B9A" w:rsidP="00843451">
            <w:pPr>
              <w:spacing w:after="0" w:line="240" w:lineRule="auto"/>
              <w:jc w:val="center"/>
              <w:rPr>
                <w:rFonts w:ascii="Arial" w:hAnsi="Arial" w:cs="Arial"/>
                <w:b/>
                <w:sz w:val="24"/>
                <w:szCs w:val="24"/>
              </w:rPr>
            </w:pPr>
            <w:r w:rsidRPr="00843451">
              <w:rPr>
                <w:rFonts w:ascii="Arial" w:hAnsi="Arial" w:cs="Arial"/>
                <w:b/>
                <w:sz w:val="24"/>
                <w:szCs w:val="24"/>
              </w:rPr>
              <w:t>%</w:t>
            </w:r>
          </w:p>
        </w:tc>
        <w:tc>
          <w:tcPr>
            <w:tcW w:w="1854" w:type="dxa"/>
            <w:shd w:val="clear" w:color="auto" w:fill="BDD6EE" w:themeFill="accent1" w:themeFillTint="66"/>
          </w:tcPr>
          <w:p w:rsidR="00BC0B9A" w:rsidRPr="00843451" w:rsidRDefault="00BC0B9A" w:rsidP="00843451">
            <w:pPr>
              <w:spacing w:after="0" w:line="240" w:lineRule="auto"/>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C0B9A" w:rsidRPr="00843451" w:rsidRDefault="00B94684" w:rsidP="00843451">
            <w:pPr>
              <w:spacing w:after="0" w:line="240" w:lineRule="auto"/>
              <w:rPr>
                <w:rFonts w:ascii="Arial" w:hAnsi="Arial" w:cs="Arial"/>
                <w:b/>
                <w:sz w:val="24"/>
                <w:szCs w:val="24"/>
              </w:rPr>
            </w:pPr>
            <w:r w:rsidRPr="00843451">
              <w:rPr>
                <w:rFonts w:ascii="Arial" w:hAnsi="Arial" w:cs="Arial"/>
                <w:b/>
                <w:sz w:val="24"/>
                <w:szCs w:val="24"/>
              </w:rPr>
              <w:t xml:space="preserve">Total </w:t>
            </w:r>
            <w:r w:rsidR="00BC0B9A" w:rsidRPr="00843451">
              <w:rPr>
                <w:rFonts w:ascii="Arial" w:hAnsi="Arial" w:cs="Arial"/>
                <w:b/>
                <w:sz w:val="24"/>
                <w:szCs w:val="24"/>
              </w:rPr>
              <w:t>Starts</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2539</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100%</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p>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Starts ages 15-16</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p>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762</w:t>
            </w:r>
          </w:p>
        </w:tc>
        <w:tc>
          <w:tcPr>
            <w:tcW w:w="1521" w:type="dxa"/>
          </w:tcPr>
          <w:p w:rsidR="00BC0B9A" w:rsidRPr="00843451" w:rsidRDefault="00BC0B9A" w:rsidP="00843451">
            <w:pPr>
              <w:spacing w:after="0" w:line="240" w:lineRule="auto"/>
              <w:jc w:val="center"/>
              <w:rPr>
                <w:rFonts w:ascii="Arial" w:hAnsi="Arial" w:cs="Arial"/>
                <w:sz w:val="24"/>
                <w:szCs w:val="24"/>
              </w:rPr>
            </w:pPr>
          </w:p>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30%</w:t>
            </w:r>
          </w:p>
        </w:tc>
        <w:tc>
          <w:tcPr>
            <w:tcW w:w="1854" w:type="dxa"/>
          </w:tcPr>
          <w:p w:rsidR="00BC0B9A" w:rsidRPr="00843451" w:rsidRDefault="00BC0B9A" w:rsidP="00843451">
            <w:pPr>
              <w:spacing w:after="0" w:line="240" w:lineRule="auto"/>
              <w:jc w:val="center"/>
              <w:rPr>
                <w:rFonts w:ascii="Arial" w:hAnsi="Arial" w:cs="Arial"/>
                <w:sz w:val="24"/>
                <w:szCs w:val="24"/>
                <w:u w:val="single"/>
              </w:rPr>
            </w:pPr>
          </w:p>
        </w:tc>
      </w:tr>
      <w:tr w:rsidR="00BC0B9A" w:rsidRPr="00843451" w:rsidTr="00B94684">
        <w:trPr>
          <w:trHeight w:val="38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 xml:space="preserve">Starts ages 16-18 </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1777</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70%</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ED5BD3" w:rsidRPr="00843451" w:rsidRDefault="00ED5BD3" w:rsidP="00843451">
            <w:pPr>
              <w:spacing w:after="0" w:line="240" w:lineRule="auto"/>
              <w:rPr>
                <w:rFonts w:ascii="Arial" w:hAnsi="Arial" w:cs="Arial"/>
                <w:b/>
                <w:sz w:val="24"/>
                <w:szCs w:val="24"/>
              </w:rPr>
            </w:pPr>
          </w:p>
          <w:p w:rsidR="00ED5BD3" w:rsidRPr="00843451" w:rsidRDefault="00ED5BD3" w:rsidP="00843451">
            <w:pPr>
              <w:spacing w:after="0" w:line="240" w:lineRule="auto"/>
              <w:rPr>
                <w:rFonts w:ascii="Arial" w:hAnsi="Arial" w:cs="Arial"/>
                <w:b/>
                <w:sz w:val="24"/>
                <w:szCs w:val="24"/>
              </w:rPr>
            </w:pPr>
            <w:r w:rsidRPr="00843451">
              <w:rPr>
                <w:rFonts w:ascii="Arial" w:hAnsi="Arial" w:cs="Arial"/>
                <w:b/>
                <w:sz w:val="24"/>
                <w:szCs w:val="24"/>
              </w:rPr>
              <w:t>Achievement</w:t>
            </w:r>
          </w:p>
          <w:p w:rsidR="00BC0B9A" w:rsidRPr="00843451" w:rsidRDefault="00B94684" w:rsidP="00843451">
            <w:pPr>
              <w:spacing w:after="0" w:line="240" w:lineRule="auto"/>
              <w:rPr>
                <w:rFonts w:ascii="Arial" w:hAnsi="Arial" w:cs="Arial"/>
                <w:b/>
                <w:sz w:val="24"/>
                <w:szCs w:val="24"/>
              </w:rPr>
            </w:pPr>
            <w:r w:rsidRPr="00843451">
              <w:rPr>
                <w:rFonts w:ascii="Arial" w:hAnsi="Arial" w:cs="Arial"/>
                <w:b/>
                <w:sz w:val="24"/>
                <w:szCs w:val="24"/>
              </w:rPr>
              <w:t xml:space="preserve">Maths and English uplift </w:t>
            </w:r>
          </w:p>
          <w:p w:rsidR="00BC0B9A" w:rsidRPr="00843451" w:rsidRDefault="00BC0B9A" w:rsidP="00843451">
            <w:pPr>
              <w:spacing w:after="0" w:line="240" w:lineRule="auto"/>
              <w:rPr>
                <w:rFonts w:ascii="Arial" w:hAnsi="Arial" w:cs="Arial"/>
                <w:b/>
                <w:sz w:val="24"/>
                <w:szCs w:val="24"/>
              </w:rPr>
            </w:pPr>
          </w:p>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 xml:space="preserve">Progressions overall </w:t>
            </w:r>
          </w:p>
        </w:tc>
        <w:tc>
          <w:tcPr>
            <w:tcW w:w="1716" w:type="dxa"/>
          </w:tcPr>
          <w:p w:rsidR="00ED5BD3" w:rsidRPr="00843451" w:rsidRDefault="00ED5BD3" w:rsidP="00843451">
            <w:pPr>
              <w:spacing w:after="0" w:line="240" w:lineRule="auto"/>
              <w:ind w:left="-392" w:firstLine="392"/>
              <w:jc w:val="center"/>
              <w:rPr>
                <w:rFonts w:ascii="Arial" w:hAnsi="Arial" w:cs="Arial"/>
                <w:sz w:val="24"/>
                <w:szCs w:val="24"/>
              </w:rPr>
            </w:pPr>
          </w:p>
          <w:p w:rsidR="00ED5BD3" w:rsidRPr="00843451" w:rsidRDefault="00ED5BD3"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w:t>
            </w:r>
          </w:p>
          <w:p w:rsidR="00ED5BD3" w:rsidRPr="00843451" w:rsidRDefault="00B94684"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889</w:t>
            </w:r>
          </w:p>
          <w:p w:rsidR="00ED5BD3" w:rsidRPr="00843451" w:rsidRDefault="00ED5BD3" w:rsidP="00843451">
            <w:pPr>
              <w:spacing w:after="0" w:line="240" w:lineRule="auto"/>
              <w:ind w:left="-392" w:firstLine="392"/>
              <w:jc w:val="center"/>
              <w:rPr>
                <w:rFonts w:ascii="Arial" w:hAnsi="Arial" w:cs="Arial"/>
                <w:sz w:val="24"/>
                <w:szCs w:val="24"/>
              </w:rPr>
            </w:pPr>
          </w:p>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2031</w:t>
            </w:r>
          </w:p>
        </w:tc>
        <w:tc>
          <w:tcPr>
            <w:tcW w:w="1521" w:type="dxa"/>
          </w:tcPr>
          <w:p w:rsidR="00ED5BD3" w:rsidRPr="00843451" w:rsidRDefault="00ED5BD3" w:rsidP="00843451">
            <w:pPr>
              <w:spacing w:after="0" w:line="240" w:lineRule="auto"/>
              <w:jc w:val="center"/>
              <w:rPr>
                <w:rFonts w:ascii="Arial" w:hAnsi="Arial" w:cs="Arial"/>
                <w:sz w:val="24"/>
                <w:szCs w:val="24"/>
              </w:rPr>
            </w:pPr>
          </w:p>
          <w:p w:rsidR="00ED5BD3" w:rsidRPr="00843451" w:rsidRDefault="00ED5BD3" w:rsidP="00843451">
            <w:pPr>
              <w:spacing w:after="0" w:line="240" w:lineRule="auto"/>
              <w:jc w:val="center"/>
              <w:rPr>
                <w:rFonts w:ascii="Arial" w:hAnsi="Arial" w:cs="Arial"/>
                <w:sz w:val="24"/>
                <w:szCs w:val="24"/>
              </w:rPr>
            </w:pPr>
            <w:r w:rsidRPr="00843451">
              <w:rPr>
                <w:rFonts w:ascii="Arial" w:hAnsi="Arial" w:cs="Arial"/>
                <w:sz w:val="24"/>
                <w:szCs w:val="24"/>
              </w:rPr>
              <w:t>85%</w:t>
            </w:r>
          </w:p>
          <w:p w:rsidR="00B94684" w:rsidRPr="00843451" w:rsidRDefault="00B94684" w:rsidP="00843451">
            <w:pPr>
              <w:spacing w:after="0" w:line="240" w:lineRule="auto"/>
              <w:jc w:val="center"/>
              <w:rPr>
                <w:rFonts w:ascii="Arial" w:hAnsi="Arial" w:cs="Arial"/>
                <w:sz w:val="24"/>
                <w:szCs w:val="24"/>
              </w:rPr>
            </w:pPr>
            <w:r w:rsidRPr="00843451">
              <w:rPr>
                <w:rFonts w:ascii="Arial" w:hAnsi="Arial" w:cs="Arial"/>
                <w:sz w:val="24"/>
                <w:szCs w:val="24"/>
              </w:rPr>
              <w:t>35%</w:t>
            </w:r>
          </w:p>
          <w:p w:rsidR="00BC0B9A" w:rsidRPr="00843451" w:rsidRDefault="00BC0B9A" w:rsidP="00843451">
            <w:pPr>
              <w:spacing w:after="0" w:line="240" w:lineRule="auto"/>
              <w:jc w:val="center"/>
              <w:rPr>
                <w:rFonts w:ascii="Arial" w:hAnsi="Arial" w:cs="Arial"/>
                <w:sz w:val="24"/>
                <w:szCs w:val="24"/>
              </w:rPr>
            </w:pPr>
          </w:p>
          <w:p w:rsidR="00BC0B9A" w:rsidRPr="00843451" w:rsidRDefault="00B94684" w:rsidP="00843451">
            <w:pPr>
              <w:spacing w:after="0" w:line="240" w:lineRule="auto"/>
              <w:rPr>
                <w:rFonts w:ascii="Arial" w:hAnsi="Arial" w:cs="Arial"/>
                <w:sz w:val="24"/>
                <w:szCs w:val="24"/>
              </w:rPr>
            </w:pPr>
            <w:r w:rsidRPr="00843451">
              <w:rPr>
                <w:rFonts w:ascii="Arial" w:hAnsi="Arial" w:cs="Arial"/>
                <w:sz w:val="24"/>
                <w:szCs w:val="24"/>
              </w:rPr>
              <w:t xml:space="preserve">       </w:t>
            </w:r>
            <w:r w:rsidR="00BC0B9A" w:rsidRPr="00843451">
              <w:rPr>
                <w:rFonts w:ascii="Arial" w:hAnsi="Arial" w:cs="Arial"/>
                <w:sz w:val="24"/>
                <w:szCs w:val="24"/>
              </w:rPr>
              <w:t>80%</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94684" w:rsidRPr="00843451" w:rsidRDefault="00B94684" w:rsidP="00843451">
            <w:pPr>
              <w:spacing w:after="0" w:line="240" w:lineRule="auto"/>
              <w:rPr>
                <w:rFonts w:ascii="Arial" w:hAnsi="Arial" w:cs="Arial"/>
                <w:b/>
                <w:sz w:val="24"/>
                <w:szCs w:val="24"/>
              </w:rPr>
            </w:pPr>
          </w:p>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 xml:space="preserve">Progression to paid employment </w:t>
            </w:r>
          </w:p>
        </w:tc>
        <w:tc>
          <w:tcPr>
            <w:tcW w:w="1716" w:type="dxa"/>
          </w:tcPr>
          <w:p w:rsidR="00B94684" w:rsidRPr="00843451" w:rsidRDefault="00B94684" w:rsidP="00843451">
            <w:pPr>
              <w:spacing w:after="0" w:line="240" w:lineRule="auto"/>
              <w:ind w:left="-392" w:firstLine="392"/>
              <w:jc w:val="center"/>
              <w:rPr>
                <w:rFonts w:ascii="Arial" w:hAnsi="Arial" w:cs="Arial"/>
                <w:sz w:val="24"/>
                <w:szCs w:val="24"/>
              </w:rPr>
            </w:pPr>
          </w:p>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152</w:t>
            </w:r>
          </w:p>
        </w:tc>
        <w:tc>
          <w:tcPr>
            <w:tcW w:w="1521" w:type="dxa"/>
          </w:tcPr>
          <w:p w:rsidR="00B94684" w:rsidRPr="00843451" w:rsidRDefault="00B94684" w:rsidP="00843451">
            <w:pPr>
              <w:spacing w:after="0" w:line="240" w:lineRule="auto"/>
              <w:jc w:val="center"/>
              <w:rPr>
                <w:rFonts w:ascii="Arial" w:hAnsi="Arial" w:cs="Arial"/>
                <w:sz w:val="24"/>
                <w:szCs w:val="24"/>
              </w:rPr>
            </w:pPr>
          </w:p>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6%</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 xml:space="preserve">Progression to unpaid employment </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51</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2%</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73"/>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 xml:space="preserve">Progression or retention in education </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1421</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56%</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Progression to apprenticeship</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305</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12%</w:t>
            </w:r>
          </w:p>
        </w:tc>
        <w:tc>
          <w:tcPr>
            <w:tcW w:w="1854" w:type="dxa"/>
          </w:tcPr>
          <w:p w:rsidR="00BC0B9A" w:rsidRPr="00843451" w:rsidRDefault="00BC0B9A" w:rsidP="00843451">
            <w:pPr>
              <w:spacing w:after="0" w:line="240" w:lineRule="auto"/>
              <w:jc w:val="center"/>
              <w:rPr>
                <w:rFonts w:ascii="Arial" w:hAnsi="Arial" w:cs="Arial"/>
                <w:sz w:val="24"/>
                <w:szCs w:val="24"/>
              </w:rPr>
            </w:pPr>
          </w:p>
        </w:tc>
      </w:tr>
      <w:tr w:rsidR="00BC0B9A" w:rsidRPr="00843451" w:rsidTr="00B94684">
        <w:trPr>
          <w:trHeight w:val="389"/>
        </w:trPr>
        <w:tc>
          <w:tcPr>
            <w:tcW w:w="4503" w:type="dxa"/>
            <w:shd w:val="clear" w:color="auto" w:fill="BDD6EE" w:themeFill="accent1" w:themeFillTint="66"/>
          </w:tcPr>
          <w:p w:rsidR="00BC0B9A" w:rsidRPr="00843451" w:rsidRDefault="00BC0B9A" w:rsidP="00843451">
            <w:pPr>
              <w:spacing w:after="0" w:line="240" w:lineRule="auto"/>
              <w:rPr>
                <w:rFonts w:ascii="Arial" w:hAnsi="Arial" w:cs="Arial"/>
                <w:b/>
                <w:sz w:val="24"/>
                <w:szCs w:val="24"/>
              </w:rPr>
            </w:pPr>
            <w:r w:rsidRPr="00843451">
              <w:rPr>
                <w:rFonts w:ascii="Arial" w:hAnsi="Arial" w:cs="Arial"/>
                <w:b/>
                <w:sz w:val="24"/>
                <w:szCs w:val="24"/>
              </w:rPr>
              <w:t>Progression to Traineeship</w:t>
            </w:r>
          </w:p>
        </w:tc>
        <w:tc>
          <w:tcPr>
            <w:tcW w:w="1716" w:type="dxa"/>
          </w:tcPr>
          <w:p w:rsidR="00BC0B9A" w:rsidRPr="00843451" w:rsidRDefault="00BC0B9A" w:rsidP="00843451">
            <w:pPr>
              <w:spacing w:after="0" w:line="240" w:lineRule="auto"/>
              <w:ind w:left="-392" w:firstLine="392"/>
              <w:jc w:val="center"/>
              <w:rPr>
                <w:rFonts w:ascii="Arial" w:hAnsi="Arial" w:cs="Arial"/>
                <w:sz w:val="24"/>
                <w:szCs w:val="24"/>
              </w:rPr>
            </w:pPr>
            <w:r w:rsidRPr="00843451">
              <w:rPr>
                <w:rFonts w:ascii="Arial" w:hAnsi="Arial" w:cs="Arial"/>
                <w:sz w:val="24"/>
                <w:szCs w:val="24"/>
              </w:rPr>
              <w:t>102</w:t>
            </w:r>
          </w:p>
        </w:tc>
        <w:tc>
          <w:tcPr>
            <w:tcW w:w="1521" w:type="dxa"/>
          </w:tcPr>
          <w:p w:rsidR="00BC0B9A" w:rsidRPr="00843451" w:rsidRDefault="00BC0B9A" w:rsidP="00843451">
            <w:pPr>
              <w:spacing w:after="0" w:line="240" w:lineRule="auto"/>
              <w:jc w:val="center"/>
              <w:rPr>
                <w:rFonts w:ascii="Arial" w:hAnsi="Arial" w:cs="Arial"/>
                <w:sz w:val="24"/>
                <w:szCs w:val="24"/>
              </w:rPr>
            </w:pPr>
            <w:r w:rsidRPr="00843451">
              <w:rPr>
                <w:rFonts w:ascii="Arial" w:hAnsi="Arial" w:cs="Arial"/>
                <w:sz w:val="24"/>
                <w:szCs w:val="24"/>
              </w:rPr>
              <w:t>4%</w:t>
            </w:r>
          </w:p>
        </w:tc>
        <w:tc>
          <w:tcPr>
            <w:tcW w:w="1854" w:type="dxa"/>
          </w:tcPr>
          <w:p w:rsidR="00BC0B9A" w:rsidRPr="00843451" w:rsidRDefault="00BC0B9A" w:rsidP="00843451">
            <w:pPr>
              <w:spacing w:after="0" w:line="240" w:lineRule="auto"/>
              <w:jc w:val="center"/>
              <w:rPr>
                <w:rFonts w:ascii="Arial" w:hAnsi="Arial" w:cs="Arial"/>
                <w:sz w:val="24"/>
                <w:szCs w:val="24"/>
              </w:rPr>
            </w:pPr>
          </w:p>
        </w:tc>
      </w:tr>
    </w:tbl>
    <w:p w:rsidR="00E073A7" w:rsidRPr="00843451" w:rsidRDefault="00E073A7" w:rsidP="00843451">
      <w:pPr>
        <w:spacing w:after="0" w:line="240" w:lineRule="auto"/>
        <w:rPr>
          <w:rFonts w:ascii="Arial" w:hAnsi="Arial" w:cs="Arial"/>
          <w:b/>
          <w:sz w:val="24"/>
          <w:szCs w:val="24"/>
          <w:u w:val="single"/>
        </w:rPr>
      </w:pPr>
    </w:p>
    <w:p w:rsidR="00BC0B9A" w:rsidRPr="00843451" w:rsidRDefault="00BC0B9A" w:rsidP="00843451">
      <w:pPr>
        <w:pStyle w:val="ListParagraph"/>
        <w:numPr>
          <w:ilvl w:val="1"/>
          <w:numId w:val="40"/>
        </w:numPr>
        <w:spacing w:after="0" w:line="240" w:lineRule="auto"/>
        <w:ind w:hanging="1080"/>
        <w:rPr>
          <w:rFonts w:ascii="Arial" w:hAnsi="Arial" w:cs="Arial"/>
          <w:b/>
          <w:sz w:val="24"/>
          <w:szCs w:val="24"/>
        </w:rPr>
      </w:pPr>
      <w:r w:rsidRPr="00843451">
        <w:rPr>
          <w:rFonts w:ascii="Arial" w:hAnsi="Arial" w:cs="Arial"/>
          <w:b/>
          <w:sz w:val="24"/>
          <w:szCs w:val="24"/>
        </w:rPr>
        <w:t>Aim of Project</w:t>
      </w:r>
    </w:p>
    <w:p w:rsidR="00BC0B9A" w:rsidRDefault="00BC0B9A" w:rsidP="00843451">
      <w:pPr>
        <w:spacing w:after="0" w:line="240" w:lineRule="auto"/>
        <w:jc w:val="both"/>
        <w:rPr>
          <w:rFonts w:ascii="Arial" w:hAnsi="Arial" w:cs="Arial"/>
          <w:sz w:val="24"/>
          <w:szCs w:val="24"/>
        </w:rPr>
      </w:pPr>
      <w:r w:rsidRPr="00843451">
        <w:rPr>
          <w:rFonts w:ascii="Arial" w:hAnsi="Arial" w:cs="Arial"/>
          <w:sz w:val="24"/>
          <w:szCs w:val="24"/>
        </w:rPr>
        <w:t>The aim is to reduce the number of young people aged 15</w:t>
      </w:r>
      <w:r w:rsidR="00760396" w:rsidRPr="00843451">
        <w:rPr>
          <w:rFonts w:ascii="Arial" w:hAnsi="Arial" w:cs="Arial"/>
          <w:sz w:val="24"/>
          <w:szCs w:val="24"/>
        </w:rPr>
        <w:t xml:space="preserve"> </w:t>
      </w:r>
      <w:r w:rsidRPr="00843451">
        <w:rPr>
          <w:rFonts w:ascii="Arial" w:hAnsi="Arial" w:cs="Arial"/>
          <w:sz w:val="24"/>
          <w:szCs w:val="24"/>
        </w:rPr>
        <w:t>-18 (15</w:t>
      </w:r>
      <w:r w:rsidR="00760396" w:rsidRPr="00843451">
        <w:rPr>
          <w:rFonts w:ascii="Arial" w:hAnsi="Arial" w:cs="Arial"/>
          <w:sz w:val="24"/>
          <w:szCs w:val="24"/>
        </w:rPr>
        <w:t xml:space="preserve"> </w:t>
      </w:r>
      <w:r w:rsidRPr="00843451">
        <w:rPr>
          <w:rFonts w:ascii="Arial" w:hAnsi="Arial" w:cs="Arial"/>
          <w:sz w:val="24"/>
          <w:szCs w:val="24"/>
        </w:rPr>
        <w:t xml:space="preserve">- 24 SEND) who are NEET or at risk of becoming NEET. </w:t>
      </w:r>
      <w:r w:rsidR="002768A5" w:rsidRPr="00843451">
        <w:rPr>
          <w:rFonts w:ascii="Arial" w:hAnsi="Arial" w:cs="Arial"/>
          <w:sz w:val="24"/>
          <w:szCs w:val="24"/>
        </w:rPr>
        <w:t xml:space="preserve">Progression rates are high making it imperative that all provision is outcome focused and directly improves </w:t>
      </w:r>
      <w:r w:rsidRPr="00843451">
        <w:rPr>
          <w:rFonts w:ascii="Arial" w:hAnsi="Arial" w:cs="Arial"/>
          <w:sz w:val="24"/>
          <w:szCs w:val="24"/>
        </w:rPr>
        <w:t>education, employability and personal skills to ‘Move On’ to</w:t>
      </w:r>
      <w:r w:rsidR="00EB26C1" w:rsidRPr="00843451">
        <w:rPr>
          <w:rFonts w:ascii="Arial" w:hAnsi="Arial" w:cs="Arial"/>
          <w:sz w:val="24"/>
          <w:szCs w:val="24"/>
        </w:rPr>
        <w:t xml:space="preserve"> successful outcomes including</w:t>
      </w:r>
      <w:r w:rsidRPr="00843451">
        <w:rPr>
          <w:rFonts w:ascii="Arial" w:hAnsi="Arial" w:cs="Arial"/>
          <w:sz w:val="24"/>
          <w:szCs w:val="24"/>
        </w:rPr>
        <w:t>:</w:t>
      </w:r>
    </w:p>
    <w:p w:rsidR="00843451" w:rsidRDefault="00843451" w:rsidP="00843451">
      <w:pPr>
        <w:spacing w:after="0" w:line="240" w:lineRule="auto"/>
        <w:jc w:val="both"/>
        <w:rPr>
          <w:rFonts w:ascii="Arial" w:hAnsi="Arial" w:cs="Arial"/>
          <w:sz w:val="24"/>
          <w:szCs w:val="24"/>
        </w:rPr>
      </w:pPr>
    </w:p>
    <w:p w:rsidR="00843451" w:rsidRPr="00843451" w:rsidRDefault="00843451" w:rsidP="00843451">
      <w:pPr>
        <w:spacing w:after="0" w:line="240" w:lineRule="auto"/>
        <w:jc w:val="both"/>
        <w:rPr>
          <w:rFonts w:ascii="Arial" w:hAnsi="Arial" w:cs="Arial"/>
          <w:sz w:val="24"/>
          <w:szCs w:val="24"/>
        </w:rPr>
      </w:pPr>
    </w:p>
    <w:p w:rsidR="00BC0B9A" w:rsidRPr="00843451" w:rsidRDefault="00BC0B9A" w:rsidP="00843451">
      <w:pPr>
        <w:pStyle w:val="ListParagraph"/>
        <w:numPr>
          <w:ilvl w:val="0"/>
          <w:numId w:val="31"/>
        </w:numPr>
        <w:spacing w:after="0" w:line="240" w:lineRule="auto"/>
        <w:jc w:val="both"/>
        <w:rPr>
          <w:rFonts w:ascii="Arial" w:hAnsi="Arial" w:cs="Arial"/>
          <w:sz w:val="24"/>
          <w:szCs w:val="24"/>
        </w:rPr>
      </w:pPr>
      <w:r w:rsidRPr="00843451">
        <w:rPr>
          <w:rFonts w:ascii="Arial" w:hAnsi="Arial" w:cs="Arial"/>
          <w:sz w:val="24"/>
          <w:szCs w:val="24"/>
        </w:rPr>
        <w:t>Further learning</w:t>
      </w:r>
    </w:p>
    <w:p w:rsidR="00BC0B9A" w:rsidRPr="00843451" w:rsidRDefault="00BC0B9A" w:rsidP="00843451">
      <w:pPr>
        <w:pStyle w:val="ListParagraph"/>
        <w:numPr>
          <w:ilvl w:val="0"/>
          <w:numId w:val="31"/>
        </w:numPr>
        <w:spacing w:after="0" w:line="240" w:lineRule="auto"/>
        <w:jc w:val="both"/>
        <w:rPr>
          <w:rFonts w:ascii="Arial" w:hAnsi="Arial" w:cs="Arial"/>
          <w:sz w:val="24"/>
          <w:szCs w:val="24"/>
        </w:rPr>
      </w:pPr>
      <w:r w:rsidRPr="00843451">
        <w:rPr>
          <w:rFonts w:ascii="Arial" w:hAnsi="Arial" w:cs="Arial"/>
          <w:sz w:val="24"/>
          <w:szCs w:val="24"/>
        </w:rPr>
        <w:t>Traineeship</w:t>
      </w:r>
    </w:p>
    <w:p w:rsidR="00BC0B9A" w:rsidRPr="00843451" w:rsidRDefault="00BC0B9A" w:rsidP="00843451">
      <w:pPr>
        <w:pStyle w:val="ListParagraph"/>
        <w:numPr>
          <w:ilvl w:val="0"/>
          <w:numId w:val="31"/>
        </w:numPr>
        <w:spacing w:after="0" w:line="240" w:lineRule="auto"/>
        <w:jc w:val="both"/>
        <w:rPr>
          <w:rFonts w:ascii="Arial" w:hAnsi="Arial" w:cs="Arial"/>
          <w:sz w:val="24"/>
          <w:szCs w:val="24"/>
        </w:rPr>
      </w:pPr>
      <w:r w:rsidRPr="00843451">
        <w:rPr>
          <w:rFonts w:ascii="Arial" w:hAnsi="Arial" w:cs="Arial"/>
          <w:sz w:val="24"/>
          <w:szCs w:val="24"/>
        </w:rPr>
        <w:t>Apprenticeship</w:t>
      </w:r>
    </w:p>
    <w:p w:rsidR="00BC0B9A" w:rsidRPr="00843451" w:rsidRDefault="00BC0B9A" w:rsidP="00843451">
      <w:pPr>
        <w:pStyle w:val="ListParagraph"/>
        <w:numPr>
          <w:ilvl w:val="0"/>
          <w:numId w:val="31"/>
        </w:numPr>
        <w:spacing w:after="0" w:line="240" w:lineRule="auto"/>
        <w:jc w:val="both"/>
        <w:rPr>
          <w:rFonts w:ascii="Arial" w:hAnsi="Arial" w:cs="Arial"/>
          <w:sz w:val="24"/>
          <w:szCs w:val="24"/>
        </w:rPr>
      </w:pPr>
      <w:r w:rsidRPr="00843451">
        <w:rPr>
          <w:rFonts w:ascii="Arial" w:hAnsi="Arial" w:cs="Arial"/>
          <w:sz w:val="24"/>
          <w:szCs w:val="24"/>
        </w:rPr>
        <w:t xml:space="preserve">Paid Employment </w:t>
      </w:r>
    </w:p>
    <w:p w:rsidR="00BC0B9A" w:rsidRPr="00843451" w:rsidRDefault="00BC0B9A" w:rsidP="00843451">
      <w:pPr>
        <w:pStyle w:val="ListParagraph"/>
        <w:numPr>
          <w:ilvl w:val="0"/>
          <w:numId w:val="31"/>
        </w:numPr>
        <w:spacing w:after="0" w:line="240" w:lineRule="auto"/>
        <w:jc w:val="both"/>
        <w:rPr>
          <w:rFonts w:ascii="Arial" w:hAnsi="Arial" w:cs="Arial"/>
          <w:sz w:val="24"/>
          <w:szCs w:val="24"/>
        </w:rPr>
      </w:pPr>
      <w:r w:rsidRPr="00843451">
        <w:rPr>
          <w:rFonts w:ascii="Arial" w:hAnsi="Arial" w:cs="Arial"/>
          <w:sz w:val="24"/>
          <w:szCs w:val="24"/>
        </w:rPr>
        <w:t>Unpaid employment</w:t>
      </w:r>
    </w:p>
    <w:p w:rsidR="00882260" w:rsidRPr="00843451" w:rsidRDefault="00882260" w:rsidP="00843451">
      <w:pPr>
        <w:pStyle w:val="ListParagraph"/>
        <w:spacing w:after="0" w:line="240" w:lineRule="auto"/>
        <w:jc w:val="both"/>
        <w:rPr>
          <w:rFonts w:ascii="Arial" w:hAnsi="Arial" w:cs="Arial"/>
          <w:sz w:val="24"/>
          <w:szCs w:val="24"/>
        </w:rPr>
      </w:pPr>
    </w:p>
    <w:p w:rsidR="00882260" w:rsidRPr="00843451" w:rsidRDefault="00882260" w:rsidP="00843451">
      <w:pPr>
        <w:pStyle w:val="ListParagraph"/>
        <w:numPr>
          <w:ilvl w:val="1"/>
          <w:numId w:val="40"/>
        </w:numPr>
        <w:spacing w:after="0" w:line="240" w:lineRule="auto"/>
        <w:ind w:hanging="1080"/>
        <w:jc w:val="both"/>
        <w:rPr>
          <w:rFonts w:ascii="Arial" w:hAnsi="Arial" w:cs="Arial"/>
          <w:b/>
          <w:sz w:val="24"/>
          <w:szCs w:val="24"/>
        </w:rPr>
      </w:pPr>
      <w:r w:rsidRPr="00843451">
        <w:rPr>
          <w:rFonts w:ascii="Arial" w:hAnsi="Arial" w:cs="Arial"/>
          <w:b/>
          <w:sz w:val="24"/>
          <w:szCs w:val="24"/>
        </w:rPr>
        <w:t>Targeted focus</w:t>
      </w:r>
      <w:r w:rsidRPr="00843451">
        <w:rPr>
          <w:rFonts w:ascii="Arial" w:hAnsi="Arial" w:cs="Arial"/>
          <w:sz w:val="24"/>
          <w:szCs w:val="24"/>
        </w:rPr>
        <w:t xml:space="preserve"> </w:t>
      </w:r>
    </w:p>
    <w:p w:rsidR="00882260" w:rsidRDefault="00882260" w:rsidP="00843451">
      <w:pPr>
        <w:spacing w:after="0" w:line="240" w:lineRule="auto"/>
        <w:jc w:val="both"/>
        <w:rPr>
          <w:rFonts w:ascii="Arial" w:hAnsi="Arial" w:cs="Arial"/>
          <w:sz w:val="24"/>
          <w:szCs w:val="24"/>
        </w:rPr>
      </w:pPr>
      <w:r w:rsidRPr="00843451">
        <w:rPr>
          <w:rFonts w:ascii="Arial" w:hAnsi="Arial" w:cs="Arial"/>
          <w:sz w:val="24"/>
          <w:szCs w:val="24"/>
        </w:rPr>
        <w:lastRenderedPageBreak/>
        <w:t>There is a very clear direction to work with those with multiple barriers in terms of background, characteristics, geographic location and, although there is the facility to work with those significantly at risk, the project will specifically focus on completely NEET young people. Partners are tasked to focus activity to those with the following characteristics:</w:t>
      </w:r>
    </w:p>
    <w:p w:rsidR="00843451" w:rsidRPr="00843451" w:rsidRDefault="00843451" w:rsidP="00843451">
      <w:pPr>
        <w:spacing w:after="0" w:line="240" w:lineRule="auto"/>
        <w:jc w:val="both"/>
        <w:rPr>
          <w:rFonts w:ascii="Arial" w:hAnsi="Arial" w:cs="Arial"/>
          <w:sz w:val="24"/>
          <w:szCs w:val="24"/>
        </w:rPr>
      </w:pP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 xml:space="preserve">SEND and vulnerable groups </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Young offenders and those known to be at risk of offending</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Looked after children and Care Leavers</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 xml:space="preserve">Young parents </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Those with drug and alcohol abuse</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Those with Emotional/behavioural and mental health issues</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Those from troubled or workless families including</w:t>
      </w:r>
    </w:p>
    <w:p w:rsidR="00882260" w:rsidRPr="00843451" w:rsidRDefault="00882260" w:rsidP="00843451">
      <w:pPr>
        <w:pStyle w:val="ListParagraph"/>
        <w:numPr>
          <w:ilvl w:val="0"/>
          <w:numId w:val="49"/>
        </w:numPr>
        <w:spacing w:after="0" w:line="240" w:lineRule="auto"/>
        <w:jc w:val="both"/>
        <w:rPr>
          <w:rFonts w:ascii="Arial" w:hAnsi="Arial" w:cs="Arial"/>
          <w:sz w:val="24"/>
          <w:szCs w:val="24"/>
        </w:rPr>
      </w:pPr>
      <w:r w:rsidRPr="00843451">
        <w:rPr>
          <w:rFonts w:ascii="Arial" w:hAnsi="Arial" w:cs="Arial"/>
          <w:sz w:val="24"/>
          <w:szCs w:val="24"/>
        </w:rPr>
        <w:t>Low income identified by various indicators including Free School Meals (FSM)</w:t>
      </w:r>
    </w:p>
    <w:p w:rsidR="00882260" w:rsidRPr="00843451" w:rsidRDefault="00882260" w:rsidP="00843451">
      <w:pPr>
        <w:pStyle w:val="ListParagraph"/>
        <w:spacing w:after="0" w:line="240" w:lineRule="auto"/>
        <w:ind w:left="0"/>
        <w:jc w:val="both"/>
        <w:rPr>
          <w:rFonts w:ascii="Arial" w:hAnsi="Arial" w:cs="Arial"/>
          <w:sz w:val="24"/>
          <w:szCs w:val="24"/>
        </w:rPr>
      </w:pPr>
    </w:p>
    <w:p w:rsidR="00882260" w:rsidRPr="00843451" w:rsidRDefault="00882260" w:rsidP="00843451">
      <w:pPr>
        <w:pStyle w:val="ListParagraph"/>
        <w:spacing w:after="0" w:line="240" w:lineRule="auto"/>
        <w:ind w:left="0"/>
        <w:jc w:val="both"/>
        <w:rPr>
          <w:rFonts w:ascii="Arial" w:hAnsi="Arial" w:cs="Arial"/>
          <w:sz w:val="24"/>
          <w:szCs w:val="24"/>
        </w:rPr>
      </w:pPr>
      <w:r w:rsidRPr="00843451">
        <w:rPr>
          <w:rFonts w:ascii="Arial" w:hAnsi="Arial" w:cs="Arial"/>
          <w:sz w:val="24"/>
          <w:szCs w:val="24"/>
        </w:rPr>
        <w:t>Local knowledge will further target delivery to known groups, geographical areas and specific local issues.</w:t>
      </w:r>
    </w:p>
    <w:p w:rsidR="00882260" w:rsidRPr="00843451" w:rsidRDefault="00882260" w:rsidP="00843451">
      <w:pPr>
        <w:pStyle w:val="ListParagraph"/>
        <w:spacing w:after="0" w:line="240" w:lineRule="auto"/>
        <w:ind w:left="0"/>
        <w:jc w:val="both"/>
        <w:rPr>
          <w:rFonts w:ascii="Arial" w:hAnsi="Arial" w:cs="Arial"/>
          <w:sz w:val="24"/>
          <w:szCs w:val="24"/>
        </w:rPr>
      </w:pPr>
    </w:p>
    <w:p w:rsidR="00882260" w:rsidRPr="00843451" w:rsidRDefault="00882260" w:rsidP="00843451">
      <w:pPr>
        <w:pStyle w:val="ListParagraph"/>
        <w:numPr>
          <w:ilvl w:val="1"/>
          <w:numId w:val="48"/>
        </w:numPr>
        <w:spacing w:after="0" w:line="240" w:lineRule="auto"/>
        <w:ind w:hanging="1080"/>
        <w:jc w:val="both"/>
        <w:rPr>
          <w:rFonts w:ascii="Arial" w:hAnsi="Arial" w:cs="Arial"/>
          <w:b/>
          <w:sz w:val="24"/>
          <w:szCs w:val="24"/>
        </w:rPr>
      </w:pPr>
      <w:r w:rsidRPr="00843451">
        <w:rPr>
          <w:rFonts w:ascii="Arial" w:hAnsi="Arial" w:cs="Arial"/>
          <w:b/>
          <w:sz w:val="24"/>
          <w:szCs w:val="24"/>
        </w:rPr>
        <w:t>Programme Delivery</w:t>
      </w:r>
    </w:p>
    <w:p w:rsidR="00760396" w:rsidRPr="00843451" w:rsidRDefault="00760396" w:rsidP="00843451">
      <w:pPr>
        <w:pStyle w:val="ListParagraph"/>
        <w:spacing w:after="0" w:line="240" w:lineRule="auto"/>
        <w:ind w:left="0"/>
        <w:jc w:val="both"/>
        <w:rPr>
          <w:rFonts w:ascii="Arial" w:hAnsi="Arial" w:cs="Arial"/>
          <w:sz w:val="24"/>
          <w:szCs w:val="24"/>
        </w:rPr>
      </w:pPr>
    </w:p>
    <w:p w:rsidR="00882260" w:rsidRPr="00843451" w:rsidRDefault="00882260" w:rsidP="00843451">
      <w:pPr>
        <w:pStyle w:val="ListParagraph"/>
        <w:spacing w:after="0" w:line="240" w:lineRule="auto"/>
        <w:ind w:left="0"/>
        <w:jc w:val="both"/>
        <w:rPr>
          <w:rFonts w:ascii="Arial" w:hAnsi="Arial" w:cs="Arial"/>
          <w:sz w:val="24"/>
          <w:szCs w:val="24"/>
        </w:rPr>
      </w:pPr>
      <w:r w:rsidRPr="00843451">
        <w:rPr>
          <w:rFonts w:ascii="Arial" w:hAnsi="Arial" w:cs="Arial"/>
          <w:sz w:val="24"/>
          <w:szCs w:val="24"/>
        </w:rPr>
        <w:t>P</w:t>
      </w:r>
      <w:r w:rsidR="00760396" w:rsidRPr="00843451">
        <w:rPr>
          <w:rFonts w:ascii="Arial" w:hAnsi="Arial" w:cs="Arial"/>
          <w:sz w:val="24"/>
          <w:szCs w:val="24"/>
        </w:rPr>
        <w:t xml:space="preserve">artners will deliver </w:t>
      </w:r>
      <w:r w:rsidRPr="00843451">
        <w:rPr>
          <w:rFonts w:ascii="Arial" w:hAnsi="Arial" w:cs="Arial"/>
          <w:sz w:val="24"/>
          <w:szCs w:val="24"/>
        </w:rPr>
        <w:t xml:space="preserve">varied and responsive ‘outcome focused’ programmes </w:t>
      </w:r>
      <w:r w:rsidR="00B972B8" w:rsidRPr="00843451">
        <w:rPr>
          <w:rFonts w:ascii="Arial" w:hAnsi="Arial" w:cs="Arial"/>
          <w:sz w:val="24"/>
          <w:szCs w:val="24"/>
        </w:rPr>
        <w:t xml:space="preserve">including: </w:t>
      </w:r>
    </w:p>
    <w:p w:rsidR="00882260" w:rsidRPr="00843451" w:rsidRDefault="00882260" w:rsidP="00843451">
      <w:pPr>
        <w:pStyle w:val="ListParagraph"/>
        <w:spacing w:after="0" w:line="240" w:lineRule="auto"/>
        <w:jc w:val="both"/>
        <w:rPr>
          <w:rFonts w:ascii="Arial" w:hAnsi="Arial" w:cs="Arial"/>
          <w:b/>
          <w:sz w:val="24"/>
          <w:szCs w:val="24"/>
        </w:rPr>
      </w:pP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Non regulated and Regulated learning pathways which will interest and engage and encourage progression to more substantial employment or education</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 xml:space="preserve">Tailored individualised programmes of learning based on strong </w:t>
      </w:r>
      <w:r w:rsidR="00844D91" w:rsidRPr="00843451">
        <w:rPr>
          <w:rFonts w:ascii="Arial" w:hAnsi="Arial" w:cs="Arial"/>
          <w:sz w:val="24"/>
          <w:szCs w:val="24"/>
        </w:rPr>
        <w:t>Careers Information, A</w:t>
      </w:r>
      <w:r w:rsidR="00760396" w:rsidRPr="00843451">
        <w:rPr>
          <w:rFonts w:ascii="Arial" w:hAnsi="Arial" w:cs="Arial"/>
          <w:sz w:val="24"/>
          <w:szCs w:val="24"/>
        </w:rPr>
        <w:t xml:space="preserve">dvice and Guidance) </w:t>
      </w:r>
      <w:r w:rsidRPr="00843451">
        <w:rPr>
          <w:rFonts w:ascii="Arial" w:hAnsi="Arial" w:cs="Arial"/>
          <w:sz w:val="24"/>
          <w:szCs w:val="24"/>
        </w:rPr>
        <w:t xml:space="preserve">CIAG </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 xml:space="preserve">Year round provision continuing over the summer transition period </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 xml:space="preserve">Delivery in identified ‘hotspots’ at ward level </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Enhanced transition work for those with no planned destination at age 16.</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Quality work experience / tasters / placements</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Substantial programmes including maths and English for fully NEET 16+ group</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CIAG and Coaching to underpin all provision</w:t>
      </w:r>
    </w:p>
    <w:p w:rsidR="00882260" w:rsidRPr="00843451" w:rsidRDefault="00882260" w:rsidP="00843451">
      <w:pPr>
        <w:pStyle w:val="ListParagraph"/>
        <w:numPr>
          <w:ilvl w:val="0"/>
          <w:numId w:val="50"/>
        </w:numPr>
        <w:spacing w:after="0" w:line="240" w:lineRule="auto"/>
        <w:jc w:val="both"/>
        <w:rPr>
          <w:rFonts w:ascii="Arial" w:hAnsi="Arial" w:cs="Arial"/>
          <w:sz w:val="24"/>
          <w:szCs w:val="24"/>
        </w:rPr>
      </w:pPr>
      <w:r w:rsidRPr="00843451">
        <w:rPr>
          <w:rFonts w:ascii="Arial" w:hAnsi="Arial" w:cs="Arial"/>
          <w:sz w:val="24"/>
          <w:szCs w:val="24"/>
        </w:rPr>
        <w:t xml:space="preserve">Combination of short programmes leading to more substantial outcomes including </w:t>
      </w:r>
    </w:p>
    <w:p w:rsidR="00882260" w:rsidRPr="00843451" w:rsidRDefault="00882260" w:rsidP="00843451">
      <w:pPr>
        <w:pStyle w:val="ListParagraph"/>
        <w:spacing w:after="0" w:line="240" w:lineRule="auto"/>
        <w:jc w:val="both"/>
        <w:rPr>
          <w:rFonts w:ascii="Arial" w:hAnsi="Arial" w:cs="Arial"/>
          <w:sz w:val="24"/>
          <w:szCs w:val="24"/>
        </w:rPr>
      </w:pPr>
      <w:r w:rsidRPr="00843451">
        <w:rPr>
          <w:rFonts w:ascii="Arial" w:hAnsi="Arial" w:cs="Arial"/>
          <w:sz w:val="24"/>
          <w:szCs w:val="24"/>
        </w:rPr>
        <w:t xml:space="preserve">Priority sector based tasters and programmes including: Construction, Health, Digital and Creative, Engineering, Visitor Economy  </w:t>
      </w:r>
    </w:p>
    <w:p w:rsidR="002768A5" w:rsidRPr="00843451" w:rsidRDefault="002768A5" w:rsidP="00843451">
      <w:pPr>
        <w:spacing w:after="0" w:line="240" w:lineRule="auto"/>
        <w:jc w:val="both"/>
        <w:rPr>
          <w:rFonts w:ascii="Arial" w:hAnsi="Arial" w:cs="Arial"/>
          <w:sz w:val="24"/>
          <w:szCs w:val="24"/>
        </w:rPr>
      </w:pPr>
    </w:p>
    <w:p w:rsidR="00E60533" w:rsidRPr="00843451" w:rsidRDefault="00E073A7" w:rsidP="00843451">
      <w:pPr>
        <w:pStyle w:val="ListParagraph"/>
        <w:numPr>
          <w:ilvl w:val="1"/>
          <w:numId w:val="40"/>
        </w:numPr>
        <w:spacing w:after="0" w:line="240" w:lineRule="auto"/>
        <w:ind w:hanging="1080"/>
        <w:jc w:val="both"/>
        <w:rPr>
          <w:rFonts w:ascii="Arial" w:hAnsi="Arial" w:cs="Arial"/>
          <w:b/>
          <w:sz w:val="24"/>
          <w:szCs w:val="24"/>
        </w:rPr>
      </w:pPr>
      <w:r w:rsidRPr="00843451">
        <w:rPr>
          <w:rFonts w:ascii="Arial" w:hAnsi="Arial" w:cs="Arial"/>
          <w:b/>
          <w:sz w:val="24"/>
          <w:szCs w:val="24"/>
        </w:rPr>
        <w:t xml:space="preserve">Implementation </w:t>
      </w:r>
      <w:r w:rsidR="002768A5" w:rsidRPr="00843451">
        <w:rPr>
          <w:rFonts w:ascii="Arial" w:hAnsi="Arial" w:cs="Arial"/>
          <w:b/>
          <w:sz w:val="24"/>
          <w:szCs w:val="24"/>
        </w:rPr>
        <w:t>Process</w:t>
      </w:r>
    </w:p>
    <w:p w:rsidR="002768A5" w:rsidRPr="00843451" w:rsidRDefault="002768A5" w:rsidP="00843451">
      <w:pPr>
        <w:pStyle w:val="ListParagraph"/>
        <w:spacing w:after="0" w:line="240" w:lineRule="auto"/>
        <w:ind w:left="1080"/>
        <w:jc w:val="both"/>
        <w:rPr>
          <w:rFonts w:ascii="Arial" w:hAnsi="Arial" w:cs="Arial"/>
          <w:b/>
          <w:sz w:val="24"/>
          <w:szCs w:val="24"/>
        </w:rPr>
      </w:pPr>
    </w:p>
    <w:p w:rsidR="002768A5" w:rsidRPr="00843451" w:rsidRDefault="002768A5"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Dedicated LAB Compliance team in place</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Joint working with LESEP, Skills and Employment Hub and SELNET</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Steering Group established – Terms of reference to be agreed</w:t>
      </w:r>
    </w:p>
    <w:p w:rsidR="002768A5" w:rsidRPr="00843451" w:rsidRDefault="002768A5"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 xml:space="preserve">Claims process </w:t>
      </w:r>
      <w:r w:rsidR="00E073A7" w:rsidRPr="00843451">
        <w:rPr>
          <w:rFonts w:ascii="Arial" w:hAnsi="Arial" w:cs="Arial"/>
          <w:sz w:val="24"/>
          <w:szCs w:val="24"/>
        </w:rPr>
        <w:t xml:space="preserve">and cycle </w:t>
      </w:r>
      <w:r w:rsidRPr="00843451">
        <w:rPr>
          <w:rFonts w:ascii="Arial" w:hAnsi="Arial" w:cs="Arial"/>
          <w:sz w:val="24"/>
          <w:szCs w:val="24"/>
        </w:rPr>
        <w:t>clearly identified</w:t>
      </w:r>
    </w:p>
    <w:p w:rsidR="002768A5" w:rsidRPr="00843451" w:rsidRDefault="002768A5"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Standardised evidence paperwork</w:t>
      </w:r>
      <w:r w:rsidR="008E7766" w:rsidRPr="00843451">
        <w:rPr>
          <w:rFonts w:ascii="Arial" w:hAnsi="Arial" w:cs="Arial"/>
          <w:sz w:val="24"/>
          <w:szCs w:val="24"/>
        </w:rPr>
        <w:t xml:space="preserve"> approved by SFA</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ILR data transfer process established</w:t>
      </w:r>
    </w:p>
    <w:p w:rsidR="002768A5" w:rsidRPr="00843451" w:rsidRDefault="002768A5"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Password protected Partner Portal to allow secure data transfer</w:t>
      </w:r>
    </w:p>
    <w:p w:rsidR="002768A5" w:rsidRPr="00843451" w:rsidRDefault="002768A5"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 xml:space="preserve">Data Sharing process discussions underway with Local Authorities </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Initial SFA implementation meetings supportive and processes agreed</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District Level Partnerships to be established</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lastRenderedPageBreak/>
        <w:t>District Leads to be identified</w:t>
      </w:r>
    </w:p>
    <w:p w:rsidR="00B972B8" w:rsidRPr="00843451" w:rsidRDefault="00B972B8"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 xml:space="preserve">Recruitment process underway for Strategic Partnerships Manager (NEET) </w:t>
      </w:r>
    </w:p>
    <w:p w:rsidR="00E073A7" w:rsidRPr="00843451" w:rsidRDefault="00E073A7" w:rsidP="00843451">
      <w:pPr>
        <w:pStyle w:val="ListParagraph"/>
        <w:numPr>
          <w:ilvl w:val="0"/>
          <w:numId w:val="44"/>
        </w:numPr>
        <w:spacing w:after="0" w:line="240" w:lineRule="auto"/>
        <w:ind w:left="709" w:hanging="425"/>
        <w:jc w:val="both"/>
        <w:rPr>
          <w:rFonts w:ascii="Arial" w:hAnsi="Arial" w:cs="Arial"/>
          <w:sz w:val="24"/>
          <w:szCs w:val="24"/>
        </w:rPr>
      </w:pPr>
      <w:r w:rsidRPr="00843451">
        <w:rPr>
          <w:rFonts w:ascii="Arial" w:hAnsi="Arial" w:cs="Arial"/>
          <w:sz w:val="24"/>
          <w:szCs w:val="24"/>
        </w:rPr>
        <w:t xml:space="preserve">Full Marketing and Communication Strategy to be rolled out </w:t>
      </w:r>
      <w:r w:rsidR="008E7766" w:rsidRPr="00843451">
        <w:rPr>
          <w:rFonts w:ascii="Arial" w:hAnsi="Arial" w:cs="Arial"/>
          <w:sz w:val="24"/>
          <w:szCs w:val="24"/>
        </w:rPr>
        <w:t>through LESEP</w:t>
      </w:r>
    </w:p>
    <w:p w:rsidR="00E073A7" w:rsidRPr="00843451" w:rsidRDefault="00E073A7" w:rsidP="00843451">
      <w:pPr>
        <w:pStyle w:val="ListParagraph"/>
        <w:spacing w:after="0" w:line="240" w:lineRule="auto"/>
        <w:ind w:left="709"/>
        <w:jc w:val="both"/>
        <w:rPr>
          <w:rFonts w:ascii="Arial" w:hAnsi="Arial" w:cs="Arial"/>
          <w:sz w:val="24"/>
          <w:szCs w:val="24"/>
        </w:rPr>
      </w:pPr>
    </w:p>
    <w:p w:rsidR="002768A5" w:rsidRPr="00843451" w:rsidRDefault="00E073A7" w:rsidP="00843451">
      <w:pPr>
        <w:pStyle w:val="ListParagraph"/>
        <w:numPr>
          <w:ilvl w:val="1"/>
          <w:numId w:val="40"/>
        </w:numPr>
        <w:spacing w:after="0" w:line="240" w:lineRule="auto"/>
        <w:ind w:hanging="1080"/>
        <w:jc w:val="both"/>
        <w:rPr>
          <w:rFonts w:ascii="Arial" w:hAnsi="Arial" w:cs="Arial"/>
          <w:b/>
          <w:sz w:val="24"/>
          <w:szCs w:val="24"/>
        </w:rPr>
      </w:pPr>
      <w:r w:rsidRPr="00843451">
        <w:rPr>
          <w:rFonts w:ascii="Arial" w:hAnsi="Arial" w:cs="Arial"/>
          <w:b/>
          <w:sz w:val="24"/>
          <w:szCs w:val="24"/>
        </w:rPr>
        <w:t xml:space="preserve">Performance and Quality Monitoring </w:t>
      </w:r>
    </w:p>
    <w:p w:rsidR="001B1707" w:rsidRPr="00843451" w:rsidRDefault="00E073A7" w:rsidP="00843451">
      <w:pPr>
        <w:spacing w:after="0" w:line="240" w:lineRule="auto"/>
        <w:jc w:val="both"/>
        <w:rPr>
          <w:rFonts w:ascii="Arial" w:hAnsi="Arial" w:cs="Arial"/>
          <w:sz w:val="24"/>
          <w:szCs w:val="24"/>
        </w:rPr>
      </w:pPr>
      <w:r w:rsidRPr="00843451">
        <w:rPr>
          <w:rFonts w:ascii="Arial" w:hAnsi="Arial" w:cs="Arial"/>
          <w:sz w:val="24"/>
          <w:szCs w:val="24"/>
        </w:rPr>
        <w:t xml:space="preserve">The LAB has appointed a Performance and Quality </w:t>
      </w:r>
      <w:r w:rsidR="001B1707" w:rsidRPr="00843451">
        <w:rPr>
          <w:rFonts w:ascii="Arial" w:hAnsi="Arial" w:cs="Arial"/>
          <w:sz w:val="24"/>
          <w:szCs w:val="24"/>
        </w:rPr>
        <w:t xml:space="preserve">Co-ordinator to work alongside the Compliance Team as the main point of contact for all partners and to carry out monthly Performance and Quality reviews. Risk levels will be identified and monthly action plans established. </w:t>
      </w:r>
      <w:r w:rsidR="00B972B8" w:rsidRPr="00843451">
        <w:rPr>
          <w:rFonts w:ascii="Arial" w:hAnsi="Arial" w:cs="Arial"/>
          <w:sz w:val="24"/>
          <w:szCs w:val="24"/>
        </w:rPr>
        <w:t xml:space="preserve">The Co-ordinator will provide contextual analysis of the hard evidence around performance and quality which will be included in the reporting process. </w:t>
      </w:r>
    </w:p>
    <w:p w:rsidR="001B1707" w:rsidRPr="00843451" w:rsidRDefault="000569CE" w:rsidP="00843451">
      <w:pPr>
        <w:spacing w:after="0" w:line="240" w:lineRule="auto"/>
        <w:jc w:val="both"/>
        <w:rPr>
          <w:rFonts w:ascii="Arial" w:hAnsi="Arial" w:cs="Arial"/>
          <w:sz w:val="24"/>
          <w:szCs w:val="24"/>
        </w:rPr>
      </w:pPr>
      <w:r w:rsidRPr="00843451">
        <w:rPr>
          <w:rFonts w:ascii="Arial" w:hAnsi="Arial" w:cs="Arial"/>
          <w:sz w:val="24"/>
          <w:szCs w:val="24"/>
        </w:rPr>
        <w:t xml:space="preserve">Partner profiles have been completed and in total exceed the maximum contract value. </w:t>
      </w:r>
      <w:r w:rsidR="007C3AC4" w:rsidRPr="00843451">
        <w:rPr>
          <w:rFonts w:ascii="Arial" w:hAnsi="Arial" w:cs="Arial"/>
          <w:sz w:val="24"/>
          <w:szCs w:val="24"/>
        </w:rPr>
        <w:t>To accommoda</w:t>
      </w:r>
      <w:r w:rsidRPr="00843451">
        <w:rPr>
          <w:rFonts w:ascii="Arial" w:hAnsi="Arial" w:cs="Arial"/>
          <w:sz w:val="24"/>
          <w:szCs w:val="24"/>
        </w:rPr>
        <w:t xml:space="preserve">te this, </w:t>
      </w:r>
      <w:r w:rsidR="007C3AC4" w:rsidRPr="00843451">
        <w:rPr>
          <w:rFonts w:ascii="Arial" w:hAnsi="Arial" w:cs="Arial"/>
          <w:sz w:val="24"/>
          <w:szCs w:val="24"/>
        </w:rPr>
        <w:t xml:space="preserve">contracts </w:t>
      </w:r>
      <w:r w:rsidRPr="00843451">
        <w:rPr>
          <w:rFonts w:ascii="Arial" w:hAnsi="Arial" w:cs="Arial"/>
          <w:sz w:val="24"/>
          <w:szCs w:val="24"/>
        </w:rPr>
        <w:t xml:space="preserve">have been agreed which profile new starts until </w:t>
      </w:r>
      <w:r w:rsidR="007C3AC4" w:rsidRPr="00843451">
        <w:rPr>
          <w:rFonts w:ascii="Arial" w:hAnsi="Arial" w:cs="Arial"/>
          <w:sz w:val="24"/>
          <w:szCs w:val="24"/>
        </w:rPr>
        <w:t>July 2017 only. Shoul</w:t>
      </w:r>
      <w:r w:rsidRPr="00843451">
        <w:rPr>
          <w:rFonts w:ascii="Arial" w:hAnsi="Arial" w:cs="Arial"/>
          <w:sz w:val="24"/>
          <w:szCs w:val="24"/>
        </w:rPr>
        <w:t>d individual partners achieve against their</w:t>
      </w:r>
      <w:r w:rsidR="007C3AC4" w:rsidRPr="00843451">
        <w:rPr>
          <w:rFonts w:ascii="Arial" w:hAnsi="Arial" w:cs="Arial"/>
          <w:sz w:val="24"/>
          <w:szCs w:val="24"/>
        </w:rPr>
        <w:t xml:space="preserve"> profiles, outcomes and associated values, </w:t>
      </w:r>
      <w:r w:rsidRPr="00843451">
        <w:rPr>
          <w:rFonts w:ascii="Arial" w:hAnsi="Arial" w:cs="Arial"/>
          <w:sz w:val="24"/>
          <w:szCs w:val="24"/>
        </w:rPr>
        <w:t xml:space="preserve">funding may be moved around the network. In the case of full project overachievement, </w:t>
      </w:r>
      <w:r w:rsidR="007C3AC4" w:rsidRPr="00843451">
        <w:rPr>
          <w:rFonts w:ascii="Arial" w:hAnsi="Arial" w:cs="Arial"/>
          <w:sz w:val="24"/>
          <w:szCs w:val="24"/>
        </w:rPr>
        <w:t>a growth case will be submitted to the SFA at the earliest possible point.</w:t>
      </w:r>
      <w:r w:rsidRPr="00843451">
        <w:rPr>
          <w:rFonts w:ascii="Arial" w:hAnsi="Arial" w:cs="Arial"/>
          <w:sz w:val="24"/>
          <w:szCs w:val="24"/>
        </w:rPr>
        <w:t xml:space="preserve"> </w:t>
      </w:r>
    </w:p>
    <w:p w:rsidR="00932308" w:rsidRPr="00843451" w:rsidRDefault="00932308" w:rsidP="00843451">
      <w:pPr>
        <w:spacing w:after="0" w:line="240" w:lineRule="auto"/>
        <w:jc w:val="both"/>
        <w:rPr>
          <w:rFonts w:ascii="Arial" w:hAnsi="Arial" w:cs="Arial"/>
          <w:sz w:val="24"/>
          <w:szCs w:val="24"/>
        </w:rPr>
      </w:pPr>
      <w:r w:rsidRPr="00843451">
        <w:rPr>
          <w:rFonts w:ascii="Arial" w:hAnsi="Arial" w:cs="Arial"/>
          <w:sz w:val="24"/>
          <w:szCs w:val="24"/>
        </w:rPr>
        <w:t>Specialist partners have been included for their ability to reach the most vulnerable groups at District levels, the flexibility</w:t>
      </w:r>
      <w:r w:rsidR="00B972B8" w:rsidRPr="00843451">
        <w:rPr>
          <w:rFonts w:ascii="Arial" w:hAnsi="Arial" w:cs="Arial"/>
          <w:sz w:val="24"/>
          <w:szCs w:val="24"/>
        </w:rPr>
        <w:t xml:space="preserve"> of their offers and innovative approaches to secure </w:t>
      </w:r>
      <w:r w:rsidRPr="00843451">
        <w:rPr>
          <w:rFonts w:ascii="Arial" w:hAnsi="Arial" w:cs="Arial"/>
          <w:sz w:val="24"/>
          <w:szCs w:val="24"/>
        </w:rPr>
        <w:t xml:space="preserve">employment outcomes. </w:t>
      </w:r>
    </w:p>
    <w:p w:rsidR="00E073A7" w:rsidRPr="00843451" w:rsidRDefault="00E073A7" w:rsidP="00843451">
      <w:pPr>
        <w:spacing w:after="0" w:line="240" w:lineRule="auto"/>
        <w:jc w:val="both"/>
        <w:rPr>
          <w:rFonts w:ascii="Arial" w:hAnsi="Arial" w:cs="Arial"/>
          <w:b/>
          <w:sz w:val="24"/>
          <w:szCs w:val="24"/>
        </w:rPr>
      </w:pPr>
    </w:p>
    <w:p w:rsidR="00BC0B9A" w:rsidRPr="00843451" w:rsidRDefault="00E35F57" w:rsidP="00843451">
      <w:pPr>
        <w:pStyle w:val="ListParagraph"/>
        <w:numPr>
          <w:ilvl w:val="1"/>
          <w:numId w:val="40"/>
        </w:numPr>
        <w:tabs>
          <w:tab w:val="left" w:pos="426"/>
        </w:tabs>
        <w:spacing w:after="0" w:line="240" w:lineRule="auto"/>
        <w:ind w:hanging="1080"/>
        <w:jc w:val="both"/>
        <w:rPr>
          <w:rFonts w:ascii="Arial" w:hAnsi="Arial" w:cs="Arial"/>
          <w:b/>
          <w:sz w:val="24"/>
          <w:szCs w:val="24"/>
        </w:rPr>
      </w:pPr>
      <w:r w:rsidRPr="00843451">
        <w:rPr>
          <w:rFonts w:ascii="Arial" w:hAnsi="Arial" w:cs="Arial"/>
          <w:b/>
          <w:sz w:val="24"/>
          <w:szCs w:val="24"/>
        </w:rPr>
        <w:t xml:space="preserve">          </w:t>
      </w:r>
      <w:r w:rsidR="00342F5F" w:rsidRPr="00843451">
        <w:rPr>
          <w:rFonts w:ascii="Arial" w:hAnsi="Arial" w:cs="Arial"/>
          <w:b/>
          <w:sz w:val="24"/>
          <w:szCs w:val="24"/>
        </w:rPr>
        <w:t xml:space="preserve">Reporting </w:t>
      </w:r>
    </w:p>
    <w:p w:rsidR="00E60533" w:rsidRPr="00843451" w:rsidRDefault="00E60533" w:rsidP="00843451">
      <w:pPr>
        <w:spacing w:after="0" w:line="240" w:lineRule="auto"/>
        <w:jc w:val="both"/>
        <w:rPr>
          <w:rFonts w:ascii="Arial" w:hAnsi="Arial" w:cs="Arial"/>
          <w:sz w:val="24"/>
          <w:szCs w:val="24"/>
        </w:rPr>
      </w:pPr>
      <w:r w:rsidRPr="00843451">
        <w:rPr>
          <w:rFonts w:ascii="Arial" w:hAnsi="Arial" w:cs="Arial"/>
          <w:sz w:val="24"/>
          <w:szCs w:val="24"/>
        </w:rPr>
        <w:t xml:space="preserve">Reports will be created by </w:t>
      </w:r>
      <w:r w:rsidR="00E933B7" w:rsidRPr="00843451">
        <w:rPr>
          <w:rFonts w:ascii="Arial" w:hAnsi="Arial" w:cs="Arial"/>
          <w:sz w:val="24"/>
          <w:szCs w:val="24"/>
        </w:rPr>
        <w:t xml:space="preserve">the LAB </w:t>
      </w:r>
      <w:r w:rsidR="008E7766" w:rsidRPr="00843451">
        <w:rPr>
          <w:rFonts w:ascii="Arial" w:hAnsi="Arial" w:cs="Arial"/>
          <w:sz w:val="24"/>
          <w:szCs w:val="24"/>
        </w:rPr>
        <w:t xml:space="preserve">working closely with LESEP </w:t>
      </w:r>
      <w:r w:rsidRPr="00843451">
        <w:rPr>
          <w:rFonts w:ascii="Arial" w:hAnsi="Arial" w:cs="Arial"/>
          <w:sz w:val="24"/>
          <w:szCs w:val="24"/>
        </w:rPr>
        <w:t>and will incorporate:</w:t>
      </w:r>
    </w:p>
    <w:p w:rsidR="00E60533"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Data demonstrating performance against forecast</w:t>
      </w:r>
    </w:p>
    <w:p w:rsidR="00E60533"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 xml:space="preserve">Pending data </w:t>
      </w:r>
    </w:p>
    <w:p w:rsidR="00E60533"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 xml:space="preserve">Monitoring of spend through volume : value ratios </w:t>
      </w:r>
    </w:p>
    <w:p w:rsidR="00E60533"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Starts to achievement / progression outcome ratios</w:t>
      </w:r>
    </w:p>
    <w:p w:rsidR="00E60533"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Contextual information around priority groups and areas</w:t>
      </w:r>
    </w:p>
    <w:p w:rsidR="00D637C0" w:rsidRPr="00843451" w:rsidRDefault="00D637C0"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Contract</w:t>
      </w:r>
      <w:r w:rsidR="000569CE" w:rsidRPr="00843451">
        <w:rPr>
          <w:rFonts w:ascii="Arial" w:hAnsi="Arial" w:cs="Arial"/>
          <w:sz w:val="24"/>
          <w:szCs w:val="24"/>
        </w:rPr>
        <w:t xml:space="preserve"> specific horizontal principles</w:t>
      </w:r>
    </w:p>
    <w:p w:rsidR="00D637C0" w:rsidRPr="00843451" w:rsidRDefault="00E60533" w:rsidP="00843451">
      <w:pPr>
        <w:pStyle w:val="ListParagraph"/>
        <w:numPr>
          <w:ilvl w:val="0"/>
          <w:numId w:val="41"/>
        </w:numPr>
        <w:spacing w:after="0" w:line="240" w:lineRule="auto"/>
        <w:ind w:left="567" w:hanging="567"/>
        <w:jc w:val="both"/>
        <w:rPr>
          <w:rFonts w:ascii="Arial" w:hAnsi="Arial" w:cs="Arial"/>
          <w:sz w:val="24"/>
          <w:szCs w:val="24"/>
        </w:rPr>
      </w:pPr>
      <w:r w:rsidRPr="00843451">
        <w:rPr>
          <w:rFonts w:ascii="Arial" w:hAnsi="Arial" w:cs="Arial"/>
          <w:sz w:val="24"/>
          <w:szCs w:val="24"/>
        </w:rPr>
        <w:t xml:space="preserve">Contract specific </w:t>
      </w:r>
      <w:r w:rsidR="00B972B8" w:rsidRPr="00843451">
        <w:rPr>
          <w:rFonts w:ascii="Arial" w:hAnsi="Arial" w:cs="Arial"/>
          <w:sz w:val="24"/>
          <w:szCs w:val="24"/>
        </w:rPr>
        <w:t xml:space="preserve">and additional enhanced </w:t>
      </w:r>
      <w:r w:rsidRPr="00843451">
        <w:rPr>
          <w:rFonts w:ascii="Arial" w:hAnsi="Arial" w:cs="Arial"/>
          <w:sz w:val="24"/>
          <w:szCs w:val="24"/>
        </w:rPr>
        <w:t xml:space="preserve">LEP service requirements </w:t>
      </w:r>
    </w:p>
    <w:p w:rsidR="00B972B8" w:rsidRPr="00843451" w:rsidRDefault="00B972B8" w:rsidP="00843451">
      <w:pPr>
        <w:pStyle w:val="ListParagraph"/>
        <w:spacing w:after="0" w:line="240" w:lineRule="auto"/>
        <w:ind w:left="567"/>
        <w:jc w:val="both"/>
        <w:rPr>
          <w:rFonts w:ascii="Arial" w:hAnsi="Arial" w:cs="Arial"/>
          <w:sz w:val="24"/>
          <w:szCs w:val="24"/>
        </w:rPr>
      </w:pPr>
    </w:p>
    <w:p w:rsidR="00E60533" w:rsidRPr="00843451" w:rsidRDefault="00E60533" w:rsidP="00843451">
      <w:pPr>
        <w:pStyle w:val="ListParagraph"/>
        <w:numPr>
          <w:ilvl w:val="1"/>
          <w:numId w:val="47"/>
        </w:numPr>
        <w:spacing w:after="0" w:line="240" w:lineRule="auto"/>
        <w:ind w:hanging="1080"/>
        <w:jc w:val="both"/>
        <w:rPr>
          <w:rFonts w:ascii="Arial" w:hAnsi="Arial" w:cs="Arial"/>
          <w:b/>
          <w:sz w:val="24"/>
          <w:szCs w:val="24"/>
        </w:rPr>
      </w:pPr>
      <w:r w:rsidRPr="00843451">
        <w:rPr>
          <w:rFonts w:ascii="Arial" w:hAnsi="Arial" w:cs="Arial"/>
          <w:b/>
          <w:sz w:val="24"/>
          <w:szCs w:val="24"/>
        </w:rPr>
        <w:t>Showcasing</w:t>
      </w:r>
    </w:p>
    <w:p w:rsidR="00E60533" w:rsidRPr="00843451" w:rsidRDefault="00D637C0" w:rsidP="00843451">
      <w:pPr>
        <w:spacing w:after="0" w:line="240" w:lineRule="auto"/>
        <w:jc w:val="both"/>
        <w:rPr>
          <w:rFonts w:ascii="Arial" w:hAnsi="Arial" w:cs="Arial"/>
          <w:sz w:val="24"/>
          <w:szCs w:val="24"/>
        </w:rPr>
      </w:pPr>
      <w:r w:rsidRPr="00843451">
        <w:rPr>
          <w:rFonts w:ascii="Arial" w:hAnsi="Arial" w:cs="Arial"/>
          <w:sz w:val="24"/>
          <w:szCs w:val="24"/>
        </w:rPr>
        <w:t>Activity will be showcased through:</w:t>
      </w:r>
    </w:p>
    <w:p w:rsidR="00D637C0" w:rsidRPr="00843451" w:rsidRDefault="00D637C0" w:rsidP="00843451">
      <w:pPr>
        <w:pStyle w:val="ListParagraph"/>
        <w:numPr>
          <w:ilvl w:val="0"/>
          <w:numId w:val="42"/>
        </w:numPr>
        <w:spacing w:after="0" w:line="240" w:lineRule="auto"/>
        <w:ind w:hanging="720"/>
        <w:jc w:val="both"/>
        <w:rPr>
          <w:rFonts w:ascii="Arial" w:hAnsi="Arial" w:cs="Arial"/>
          <w:sz w:val="24"/>
          <w:szCs w:val="24"/>
        </w:rPr>
      </w:pPr>
      <w:r w:rsidRPr="00843451">
        <w:rPr>
          <w:rFonts w:ascii="Arial" w:hAnsi="Arial" w:cs="Arial"/>
          <w:sz w:val="24"/>
          <w:szCs w:val="24"/>
        </w:rPr>
        <w:t>Case studies</w:t>
      </w:r>
    </w:p>
    <w:p w:rsidR="00D637C0" w:rsidRPr="00843451" w:rsidRDefault="00D637C0" w:rsidP="00843451">
      <w:pPr>
        <w:pStyle w:val="ListParagraph"/>
        <w:numPr>
          <w:ilvl w:val="0"/>
          <w:numId w:val="42"/>
        </w:numPr>
        <w:spacing w:after="0" w:line="240" w:lineRule="auto"/>
        <w:ind w:hanging="720"/>
        <w:jc w:val="both"/>
        <w:rPr>
          <w:rFonts w:ascii="Arial" w:hAnsi="Arial" w:cs="Arial"/>
          <w:sz w:val="24"/>
          <w:szCs w:val="24"/>
        </w:rPr>
      </w:pPr>
      <w:r w:rsidRPr="00843451">
        <w:rPr>
          <w:rFonts w:ascii="Arial" w:hAnsi="Arial" w:cs="Arial"/>
          <w:sz w:val="24"/>
          <w:szCs w:val="24"/>
        </w:rPr>
        <w:t>Features on partner and Hub websites</w:t>
      </w:r>
    </w:p>
    <w:p w:rsidR="00D637C0" w:rsidRPr="00843451" w:rsidRDefault="00D637C0" w:rsidP="00843451">
      <w:pPr>
        <w:pStyle w:val="ListParagraph"/>
        <w:numPr>
          <w:ilvl w:val="0"/>
          <w:numId w:val="42"/>
        </w:numPr>
        <w:spacing w:after="0" w:line="240" w:lineRule="auto"/>
        <w:ind w:hanging="720"/>
        <w:jc w:val="both"/>
        <w:rPr>
          <w:rFonts w:ascii="Arial" w:hAnsi="Arial" w:cs="Arial"/>
          <w:sz w:val="24"/>
          <w:szCs w:val="24"/>
        </w:rPr>
      </w:pPr>
      <w:r w:rsidRPr="00843451">
        <w:rPr>
          <w:rFonts w:ascii="Arial" w:hAnsi="Arial" w:cs="Arial"/>
          <w:sz w:val="24"/>
          <w:szCs w:val="24"/>
        </w:rPr>
        <w:t xml:space="preserve">Use of videos and podcasts </w:t>
      </w:r>
    </w:p>
    <w:p w:rsidR="00B972B8" w:rsidRPr="00843451" w:rsidRDefault="00B972B8" w:rsidP="00843451">
      <w:pPr>
        <w:pStyle w:val="ListParagraph"/>
        <w:numPr>
          <w:ilvl w:val="0"/>
          <w:numId w:val="42"/>
        </w:numPr>
        <w:spacing w:after="0" w:line="240" w:lineRule="auto"/>
        <w:ind w:hanging="720"/>
        <w:jc w:val="both"/>
        <w:rPr>
          <w:rFonts w:ascii="Arial" w:hAnsi="Arial" w:cs="Arial"/>
          <w:sz w:val="24"/>
          <w:szCs w:val="24"/>
        </w:rPr>
      </w:pPr>
      <w:r w:rsidRPr="00843451">
        <w:rPr>
          <w:rFonts w:ascii="Arial" w:hAnsi="Arial" w:cs="Arial"/>
          <w:sz w:val="24"/>
          <w:szCs w:val="24"/>
        </w:rPr>
        <w:t>Community, school and employer events</w:t>
      </w:r>
    </w:p>
    <w:p w:rsidR="00D637C0" w:rsidRPr="00843451" w:rsidRDefault="00D637C0" w:rsidP="00843451">
      <w:pPr>
        <w:pStyle w:val="ListParagraph"/>
        <w:numPr>
          <w:ilvl w:val="0"/>
          <w:numId w:val="42"/>
        </w:numPr>
        <w:spacing w:after="0" w:line="240" w:lineRule="auto"/>
        <w:ind w:hanging="720"/>
        <w:jc w:val="both"/>
        <w:rPr>
          <w:rFonts w:ascii="Arial" w:hAnsi="Arial" w:cs="Arial"/>
          <w:sz w:val="24"/>
          <w:szCs w:val="24"/>
        </w:rPr>
      </w:pPr>
      <w:r w:rsidRPr="00843451">
        <w:rPr>
          <w:rFonts w:ascii="Arial" w:hAnsi="Arial" w:cs="Arial"/>
          <w:sz w:val="24"/>
          <w:szCs w:val="24"/>
        </w:rPr>
        <w:t xml:space="preserve">Celebration and dissemination events </w:t>
      </w:r>
    </w:p>
    <w:p w:rsidR="00D637C0" w:rsidRDefault="00D637C0" w:rsidP="00843451">
      <w:pPr>
        <w:pStyle w:val="ListParagraph"/>
        <w:spacing w:after="0" w:line="240" w:lineRule="auto"/>
        <w:jc w:val="both"/>
        <w:rPr>
          <w:rFonts w:ascii="Arial" w:hAnsi="Arial" w:cs="Arial"/>
          <w:sz w:val="24"/>
          <w:szCs w:val="24"/>
        </w:rPr>
      </w:pPr>
    </w:p>
    <w:p w:rsidR="00843451" w:rsidRDefault="00843451" w:rsidP="00843451">
      <w:pPr>
        <w:pStyle w:val="ListParagraph"/>
        <w:spacing w:after="0" w:line="240" w:lineRule="auto"/>
        <w:jc w:val="both"/>
        <w:rPr>
          <w:rFonts w:ascii="Arial" w:hAnsi="Arial" w:cs="Arial"/>
          <w:sz w:val="24"/>
          <w:szCs w:val="24"/>
        </w:rPr>
      </w:pPr>
    </w:p>
    <w:p w:rsidR="00843451" w:rsidRDefault="00843451" w:rsidP="00843451">
      <w:pPr>
        <w:pStyle w:val="ListParagraph"/>
        <w:spacing w:after="0" w:line="240" w:lineRule="auto"/>
        <w:jc w:val="both"/>
        <w:rPr>
          <w:rFonts w:ascii="Arial" w:hAnsi="Arial" w:cs="Arial"/>
          <w:sz w:val="24"/>
          <w:szCs w:val="24"/>
        </w:rPr>
      </w:pPr>
    </w:p>
    <w:p w:rsidR="00843451" w:rsidRPr="00843451" w:rsidRDefault="00843451" w:rsidP="00843451">
      <w:pPr>
        <w:pStyle w:val="ListParagraph"/>
        <w:spacing w:after="0" w:line="240" w:lineRule="auto"/>
        <w:jc w:val="both"/>
        <w:rPr>
          <w:rFonts w:ascii="Arial" w:hAnsi="Arial" w:cs="Arial"/>
          <w:sz w:val="24"/>
          <w:szCs w:val="24"/>
        </w:rPr>
      </w:pPr>
    </w:p>
    <w:p w:rsidR="007F2438" w:rsidRPr="00843451" w:rsidRDefault="007F2438" w:rsidP="00843451">
      <w:pPr>
        <w:pStyle w:val="ListParagraph"/>
        <w:numPr>
          <w:ilvl w:val="1"/>
          <w:numId w:val="47"/>
        </w:numPr>
        <w:spacing w:after="0" w:line="240" w:lineRule="auto"/>
        <w:ind w:hanging="1080"/>
        <w:jc w:val="both"/>
        <w:rPr>
          <w:rFonts w:ascii="Arial" w:hAnsi="Arial" w:cs="Arial"/>
          <w:b/>
          <w:sz w:val="24"/>
          <w:szCs w:val="24"/>
        </w:rPr>
      </w:pPr>
      <w:r w:rsidRPr="00843451">
        <w:rPr>
          <w:rFonts w:ascii="Arial" w:hAnsi="Arial" w:cs="Arial"/>
          <w:b/>
          <w:sz w:val="24"/>
          <w:szCs w:val="24"/>
        </w:rPr>
        <w:t xml:space="preserve"> Capacity Building </w:t>
      </w:r>
    </w:p>
    <w:p w:rsidR="007F2438" w:rsidRDefault="00D637C0" w:rsidP="00843451">
      <w:pPr>
        <w:spacing w:after="0" w:line="240" w:lineRule="auto"/>
        <w:jc w:val="both"/>
        <w:rPr>
          <w:rFonts w:ascii="Arial" w:hAnsi="Arial" w:cs="Arial"/>
          <w:sz w:val="24"/>
          <w:szCs w:val="24"/>
        </w:rPr>
      </w:pPr>
      <w:r w:rsidRPr="00843451">
        <w:rPr>
          <w:rFonts w:ascii="Arial" w:hAnsi="Arial" w:cs="Arial"/>
          <w:sz w:val="24"/>
          <w:szCs w:val="24"/>
        </w:rPr>
        <w:t>The LEP Service requirements specified the identification of £150,000 from project earnings to be allocated to the following:</w:t>
      </w:r>
    </w:p>
    <w:p w:rsidR="00843451" w:rsidRPr="00843451" w:rsidRDefault="00843451" w:rsidP="00843451">
      <w:pPr>
        <w:spacing w:after="0" w:line="240" w:lineRule="auto"/>
        <w:jc w:val="both"/>
        <w:rPr>
          <w:rFonts w:ascii="Arial" w:hAnsi="Arial" w:cs="Arial"/>
          <w:sz w:val="24"/>
          <w:szCs w:val="24"/>
        </w:rPr>
      </w:pPr>
    </w:p>
    <w:p w:rsidR="00D637C0" w:rsidRPr="00843451" w:rsidRDefault="006625D7" w:rsidP="00843451">
      <w:pPr>
        <w:pStyle w:val="ListParagraph"/>
        <w:numPr>
          <w:ilvl w:val="0"/>
          <w:numId w:val="43"/>
        </w:numPr>
        <w:spacing w:after="0" w:line="240" w:lineRule="auto"/>
        <w:jc w:val="both"/>
        <w:rPr>
          <w:rFonts w:ascii="Arial" w:hAnsi="Arial" w:cs="Arial"/>
          <w:sz w:val="24"/>
          <w:szCs w:val="24"/>
        </w:rPr>
      </w:pPr>
      <w:r w:rsidRPr="00843451">
        <w:rPr>
          <w:rFonts w:ascii="Arial" w:hAnsi="Arial" w:cs="Arial"/>
          <w:sz w:val="24"/>
          <w:szCs w:val="24"/>
        </w:rPr>
        <w:t>Strategic Partnership</w:t>
      </w:r>
      <w:r w:rsidR="00B972B8" w:rsidRPr="00843451">
        <w:rPr>
          <w:rFonts w:ascii="Arial" w:hAnsi="Arial" w:cs="Arial"/>
          <w:sz w:val="24"/>
          <w:szCs w:val="24"/>
        </w:rPr>
        <w:t>s</w:t>
      </w:r>
      <w:r w:rsidRPr="00843451">
        <w:rPr>
          <w:rFonts w:ascii="Arial" w:hAnsi="Arial" w:cs="Arial"/>
          <w:sz w:val="24"/>
          <w:szCs w:val="24"/>
        </w:rPr>
        <w:t xml:space="preserve"> Manager (NEET) </w:t>
      </w:r>
      <w:r w:rsidR="00D637C0" w:rsidRPr="00843451">
        <w:rPr>
          <w:rFonts w:ascii="Arial" w:hAnsi="Arial" w:cs="Arial"/>
          <w:sz w:val="24"/>
          <w:szCs w:val="24"/>
        </w:rPr>
        <w:t>post employed by the LAB and seconded</w:t>
      </w:r>
      <w:r w:rsidR="00332B8E" w:rsidRPr="00843451">
        <w:rPr>
          <w:rFonts w:ascii="Arial" w:hAnsi="Arial" w:cs="Arial"/>
          <w:sz w:val="24"/>
          <w:szCs w:val="24"/>
        </w:rPr>
        <w:t xml:space="preserve"> to Skills and Employment Hub</w:t>
      </w:r>
    </w:p>
    <w:p w:rsidR="00332B8E" w:rsidRDefault="00332B8E" w:rsidP="00843451">
      <w:pPr>
        <w:pStyle w:val="ListParagraph"/>
        <w:numPr>
          <w:ilvl w:val="0"/>
          <w:numId w:val="43"/>
        </w:numPr>
        <w:spacing w:after="0" w:line="240" w:lineRule="auto"/>
        <w:jc w:val="both"/>
        <w:rPr>
          <w:rFonts w:ascii="Arial" w:hAnsi="Arial" w:cs="Arial"/>
          <w:sz w:val="24"/>
          <w:szCs w:val="24"/>
        </w:rPr>
      </w:pPr>
      <w:r w:rsidRPr="00843451">
        <w:rPr>
          <w:rFonts w:ascii="Arial" w:hAnsi="Arial" w:cs="Arial"/>
          <w:sz w:val="24"/>
          <w:szCs w:val="24"/>
        </w:rPr>
        <w:t>Capacity Building resource</w:t>
      </w:r>
    </w:p>
    <w:p w:rsidR="00843451" w:rsidRPr="00843451" w:rsidRDefault="00843451" w:rsidP="00843451">
      <w:pPr>
        <w:pStyle w:val="ListParagraph"/>
        <w:spacing w:after="0" w:line="240" w:lineRule="auto"/>
        <w:jc w:val="both"/>
        <w:rPr>
          <w:rFonts w:ascii="Arial" w:hAnsi="Arial" w:cs="Arial"/>
          <w:sz w:val="24"/>
          <w:szCs w:val="24"/>
        </w:rPr>
      </w:pPr>
    </w:p>
    <w:p w:rsidR="002768A5" w:rsidRDefault="00332B8E" w:rsidP="00843451">
      <w:pPr>
        <w:spacing w:after="0" w:line="240" w:lineRule="auto"/>
        <w:jc w:val="both"/>
        <w:rPr>
          <w:rFonts w:ascii="Arial" w:hAnsi="Arial" w:cs="Arial"/>
          <w:sz w:val="24"/>
          <w:szCs w:val="24"/>
        </w:rPr>
      </w:pPr>
      <w:r w:rsidRPr="00843451">
        <w:rPr>
          <w:rFonts w:ascii="Arial" w:hAnsi="Arial" w:cs="Arial"/>
          <w:sz w:val="24"/>
          <w:szCs w:val="24"/>
        </w:rPr>
        <w:lastRenderedPageBreak/>
        <w:t>The recruitment pr</w:t>
      </w:r>
      <w:r w:rsidR="006625D7" w:rsidRPr="00843451">
        <w:rPr>
          <w:rFonts w:ascii="Arial" w:hAnsi="Arial" w:cs="Arial"/>
          <w:sz w:val="24"/>
          <w:szCs w:val="24"/>
        </w:rPr>
        <w:t xml:space="preserve">ocess for the Strategic Partnership Manager (NEET) </w:t>
      </w:r>
      <w:r w:rsidRPr="00843451">
        <w:rPr>
          <w:rFonts w:ascii="Arial" w:hAnsi="Arial" w:cs="Arial"/>
          <w:sz w:val="24"/>
          <w:szCs w:val="24"/>
        </w:rPr>
        <w:t xml:space="preserve">has been jointly facilitated by the Skills and Employment Hub and Preston’s College. The post has been advertised through the College </w:t>
      </w:r>
      <w:r w:rsidR="006625D7" w:rsidRPr="00843451">
        <w:rPr>
          <w:rFonts w:ascii="Arial" w:hAnsi="Arial" w:cs="Arial"/>
          <w:sz w:val="24"/>
          <w:szCs w:val="24"/>
        </w:rPr>
        <w:t xml:space="preserve">and 5 strong candidates shortlisted </w:t>
      </w:r>
      <w:r w:rsidRPr="00843451">
        <w:rPr>
          <w:rFonts w:ascii="Arial" w:hAnsi="Arial" w:cs="Arial"/>
          <w:sz w:val="24"/>
          <w:szCs w:val="24"/>
        </w:rPr>
        <w:t xml:space="preserve">with interviews to be held </w:t>
      </w:r>
      <w:r w:rsidR="006625D7" w:rsidRPr="00843451">
        <w:rPr>
          <w:rFonts w:ascii="Arial" w:hAnsi="Arial" w:cs="Arial"/>
          <w:sz w:val="24"/>
          <w:szCs w:val="24"/>
        </w:rPr>
        <w:t xml:space="preserve">at Woodlands Chorley </w:t>
      </w:r>
      <w:r w:rsidRPr="00843451">
        <w:rPr>
          <w:rFonts w:ascii="Arial" w:hAnsi="Arial" w:cs="Arial"/>
          <w:sz w:val="24"/>
          <w:szCs w:val="24"/>
        </w:rPr>
        <w:t>on the 25</w:t>
      </w:r>
      <w:r w:rsidRPr="00843451">
        <w:rPr>
          <w:rFonts w:ascii="Arial" w:hAnsi="Arial" w:cs="Arial"/>
          <w:sz w:val="24"/>
          <w:szCs w:val="24"/>
          <w:vertAlign w:val="superscript"/>
        </w:rPr>
        <w:t>th</w:t>
      </w:r>
      <w:r w:rsidR="002768A5" w:rsidRPr="00843451">
        <w:rPr>
          <w:rFonts w:ascii="Arial" w:hAnsi="Arial" w:cs="Arial"/>
          <w:sz w:val="24"/>
          <w:szCs w:val="24"/>
        </w:rPr>
        <w:t xml:space="preserve"> July. </w:t>
      </w:r>
    </w:p>
    <w:p w:rsidR="00843451" w:rsidRPr="00843451" w:rsidRDefault="00843451" w:rsidP="00843451">
      <w:pPr>
        <w:spacing w:after="0" w:line="240" w:lineRule="auto"/>
        <w:jc w:val="both"/>
        <w:rPr>
          <w:rFonts w:ascii="Arial" w:hAnsi="Arial" w:cs="Arial"/>
          <w:sz w:val="24"/>
          <w:szCs w:val="24"/>
        </w:rPr>
      </w:pPr>
    </w:p>
    <w:p w:rsidR="002768A5" w:rsidRDefault="00E51AAB" w:rsidP="00843451">
      <w:pPr>
        <w:spacing w:after="0" w:line="240" w:lineRule="auto"/>
        <w:jc w:val="both"/>
        <w:rPr>
          <w:rFonts w:ascii="Arial" w:hAnsi="Arial" w:cs="Arial"/>
          <w:sz w:val="24"/>
          <w:szCs w:val="24"/>
        </w:rPr>
      </w:pPr>
      <w:r w:rsidRPr="00843451">
        <w:rPr>
          <w:rFonts w:ascii="Arial" w:hAnsi="Arial" w:cs="Arial"/>
          <w:sz w:val="24"/>
          <w:szCs w:val="24"/>
        </w:rPr>
        <w:t>J</w:t>
      </w:r>
      <w:r w:rsidR="002768A5" w:rsidRPr="00843451">
        <w:rPr>
          <w:rFonts w:ascii="Arial" w:hAnsi="Arial" w:cs="Arial"/>
          <w:sz w:val="24"/>
          <w:szCs w:val="24"/>
        </w:rPr>
        <w:t xml:space="preserve">oint discussions </w:t>
      </w:r>
      <w:r w:rsidRPr="00843451">
        <w:rPr>
          <w:rFonts w:ascii="Arial" w:hAnsi="Arial" w:cs="Arial"/>
          <w:sz w:val="24"/>
          <w:szCs w:val="24"/>
        </w:rPr>
        <w:t xml:space="preserve">have influenced </w:t>
      </w:r>
      <w:r w:rsidR="002768A5" w:rsidRPr="00843451">
        <w:rPr>
          <w:rFonts w:ascii="Arial" w:hAnsi="Arial" w:cs="Arial"/>
          <w:sz w:val="24"/>
          <w:szCs w:val="24"/>
        </w:rPr>
        <w:t>the priorities for the C</w:t>
      </w:r>
      <w:r w:rsidR="00E073A7" w:rsidRPr="00843451">
        <w:rPr>
          <w:rFonts w:ascii="Arial" w:hAnsi="Arial" w:cs="Arial"/>
          <w:sz w:val="24"/>
          <w:szCs w:val="24"/>
        </w:rPr>
        <w:t>apacity Building R</w:t>
      </w:r>
      <w:r w:rsidR="006625D7" w:rsidRPr="00843451">
        <w:rPr>
          <w:rFonts w:ascii="Arial" w:hAnsi="Arial" w:cs="Arial"/>
          <w:sz w:val="24"/>
          <w:szCs w:val="24"/>
        </w:rPr>
        <w:t>esource. LESEP will be taking responsibility for working with the Skills and Employment Hub to deliver</w:t>
      </w:r>
      <w:r w:rsidRPr="00843451">
        <w:rPr>
          <w:rFonts w:ascii="Arial" w:hAnsi="Arial" w:cs="Arial"/>
          <w:sz w:val="24"/>
          <w:szCs w:val="24"/>
        </w:rPr>
        <w:t xml:space="preserve">, monitor and evaluate </w:t>
      </w:r>
      <w:r w:rsidR="006625D7" w:rsidRPr="00843451">
        <w:rPr>
          <w:rFonts w:ascii="Arial" w:hAnsi="Arial" w:cs="Arial"/>
          <w:sz w:val="24"/>
          <w:szCs w:val="24"/>
        </w:rPr>
        <w:t>these elements.</w:t>
      </w:r>
    </w:p>
    <w:p w:rsidR="00843451" w:rsidRPr="00843451" w:rsidRDefault="00843451" w:rsidP="00843451">
      <w:pPr>
        <w:spacing w:after="0" w:line="240" w:lineRule="auto"/>
        <w:jc w:val="both"/>
        <w:rPr>
          <w:rFonts w:ascii="Arial" w:hAnsi="Arial" w:cs="Arial"/>
          <w:sz w:val="24"/>
          <w:szCs w:val="24"/>
        </w:rPr>
      </w:pPr>
    </w:p>
    <w:p w:rsidR="00332B8E" w:rsidRPr="00843451" w:rsidRDefault="00045490" w:rsidP="00843451">
      <w:pPr>
        <w:spacing w:after="0" w:line="240" w:lineRule="auto"/>
        <w:jc w:val="both"/>
        <w:rPr>
          <w:rFonts w:ascii="Arial" w:hAnsi="Arial" w:cs="Arial"/>
          <w:sz w:val="24"/>
          <w:szCs w:val="24"/>
        </w:rPr>
      </w:pPr>
      <w:r w:rsidRPr="00843451">
        <w:rPr>
          <w:rFonts w:ascii="Arial" w:hAnsi="Arial" w:cs="Arial"/>
          <w:sz w:val="24"/>
          <w:szCs w:val="24"/>
        </w:rPr>
        <w:t>See A</w:t>
      </w:r>
      <w:r w:rsidR="00E073A7" w:rsidRPr="00843451">
        <w:rPr>
          <w:rFonts w:ascii="Arial" w:hAnsi="Arial" w:cs="Arial"/>
          <w:sz w:val="24"/>
          <w:szCs w:val="24"/>
        </w:rPr>
        <w:t>ppendix 2</w:t>
      </w:r>
      <w:r w:rsidR="00332B8E" w:rsidRPr="00843451">
        <w:rPr>
          <w:rFonts w:ascii="Arial" w:hAnsi="Arial" w:cs="Arial"/>
          <w:sz w:val="24"/>
          <w:szCs w:val="24"/>
        </w:rPr>
        <w:t xml:space="preserve">   </w:t>
      </w:r>
      <w:r w:rsidRPr="00843451">
        <w:rPr>
          <w:rFonts w:ascii="Arial" w:hAnsi="Arial" w:cs="Arial"/>
          <w:sz w:val="24"/>
          <w:szCs w:val="24"/>
        </w:rPr>
        <w:t>(Capacity Building Resource Spreadsheet)</w:t>
      </w:r>
    </w:p>
    <w:p w:rsidR="00BC0B9A" w:rsidRPr="00843451" w:rsidRDefault="00BC0B9A" w:rsidP="00843451">
      <w:pPr>
        <w:spacing w:after="0" w:line="240" w:lineRule="auto"/>
        <w:jc w:val="both"/>
        <w:rPr>
          <w:rFonts w:ascii="Arial" w:hAnsi="Arial" w:cs="Arial"/>
          <w:b/>
          <w:sz w:val="24"/>
          <w:szCs w:val="24"/>
        </w:rPr>
      </w:pPr>
    </w:p>
    <w:p w:rsidR="00570B98" w:rsidRDefault="00570B98" w:rsidP="00843451">
      <w:pPr>
        <w:spacing w:after="0" w:line="240" w:lineRule="auto"/>
        <w:jc w:val="both"/>
        <w:rPr>
          <w:rFonts w:ascii="Arial" w:hAnsi="Arial" w:cs="Arial"/>
          <w:b/>
          <w:sz w:val="24"/>
          <w:szCs w:val="24"/>
        </w:rPr>
      </w:pPr>
      <w:r w:rsidRPr="00843451">
        <w:rPr>
          <w:rFonts w:ascii="Arial" w:hAnsi="Arial" w:cs="Arial"/>
          <w:b/>
          <w:sz w:val="24"/>
          <w:szCs w:val="24"/>
        </w:rPr>
        <w:t>3.0</w:t>
      </w:r>
      <w:r w:rsidRPr="00843451">
        <w:rPr>
          <w:rFonts w:ascii="Arial" w:hAnsi="Arial" w:cs="Arial"/>
          <w:b/>
          <w:sz w:val="24"/>
          <w:szCs w:val="24"/>
        </w:rPr>
        <w:tab/>
        <w:t>Conclusion</w:t>
      </w:r>
    </w:p>
    <w:p w:rsidR="00843451" w:rsidRPr="00843451" w:rsidRDefault="00843451" w:rsidP="00843451">
      <w:pPr>
        <w:spacing w:after="0" w:line="240" w:lineRule="auto"/>
        <w:jc w:val="both"/>
        <w:rPr>
          <w:rFonts w:ascii="Arial" w:hAnsi="Arial" w:cs="Arial"/>
          <w:b/>
          <w:sz w:val="24"/>
          <w:szCs w:val="24"/>
        </w:rPr>
      </w:pPr>
    </w:p>
    <w:p w:rsidR="00570B98" w:rsidRPr="00843451" w:rsidRDefault="00E073A7" w:rsidP="00843451">
      <w:pPr>
        <w:spacing w:after="0" w:line="240" w:lineRule="auto"/>
        <w:jc w:val="both"/>
        <w:rPr>
          <w:rFonts w:ascii="Arial" w:hAnsi="Arial" w:cs="Arial"/>
          <w:sz w:val="24"/>
          <w:szCs w:val="24"/>
        </w:rPr>
      </w:pPr>
      <w:r w:rsidRPr="00843451">
        <w:rPr>
          <w:rFonts w:ascii="Arial" w:hAnsi="Arial" w:cs="Arial"/>
          <w:sz w:val="24"/>
          <w:szCs w:val="24"/>
        </w:rPr>
        <w:t>The detailed</w:t>
      </w:r>
      <w:r w:rsidR="00932308" w:rsidRPr="00843451">
        <w:rPr>
          <w:rFonts w:ascii="Arial" w:hAnsi="Arial" w:cs="Arial"/>
          <w:sz w:val="24"/>
          <w:szCs w:val="24"/>
        </w:rPr>
        <w:t xml:space="preserve"> planning of the implementation stage demonstrates </w:t>
      </w:r>
      <w:r w:rsidRPr="00843451">
        <w:rPr>
          <w:rFonts w:ascii="Arial" w:hAnsi="Arial" w:cs="Arial"/>
          <w:sz w:val="24"/>
          <w:szCs w:val="24"/>
        </w:rPr>
        <w:t xml:space="preserve">that the project will be delivered collaboratively </w:t>
      </w:r>
      <w:r w:rsidR="00932308" w:rsidRPr="00843451">
        <w:rPr>
          <w:rFonts w:ascii="Arial" w:hAnsi="Arial" w:cs="Arial"/>
          <w:sz w:val="24"/>
          <w:szCs w:val="24"/>
        </w:rPr>
        <w:t xml:space="preserve">through a broad range of partners </w:t>
      </w:r>
      <w:r w:rsidRPr="00843451">
        <w:rPr>
          <w:rFonts w:ascii="Arial" w:hAnsi="Arial" w:cs="Arial"/>
          <w:sz w:val="24"/>
          <w:szCs w:val="24"/>
        </w:rPr>
        <w:t>and in line with contractual and LEP</w:t>
      </w:r>
      <w:r w:rsidR="00932308" w:rsidRPr="00843451">
        <w:rPr>
          <w:rFonts w:ascii="Arial" w:hAnsi="Arial" w:cs="Arial"/>
          <w:sz w:val="24"/>
          <w:szCs w:val="24"/>
        </w:rPr>
        <w:t xml:space="preserve"> specific requirements. The initial SFA visits and recommendations give confidence that </w:t>
      </w:r>
      <w:r w:rsidRPr="00843451">
        <w:rPr>
          <w:rFonts w:ascii="Arial" w:hAnsi="Arial" w:cs="Arial"/>
          <w:sz w:val="24"/>
          <w:szCs w:val="24"/>
        </w:rPr>
        <w:t>underpinning s</w:t>
      </w:r>
      <w:r w:rsidR="00932308" w:rsidRPr="00843451">
        <w:rPr>
          <w:rFonts w:ascii="Arial" w:hAnsi="Arial" w:cs="Arial"/>
          <w:sz w:val="24"/>
          <w:szCs w:val="24"/>
        </w:rPr>
        <w:t xml:space="preserve">ystems and procedures are solid and that audit requirements have been addressed, offering strong levels of assurance around </w:t>
      </w:r>
      <w:r w:rsidR="008E7766" w:rsidRPr="00843451">
        <w:rPr>
          <w:rFonts w:ascii="Arial" w:hAnsi="Arial" w:cs="Arial"/>
          <w:sz w:val="24"/>
          <w:szCs w:val="24"/>
        </w:rPr>
        <w:t>delivery and the achievement of maximum contract value</w:t>
      </w:r>
      <w:r w:rsidR="00843451">
        <w:rPr>
          <w:rFonts w:ascii="Arial" w:hAnsi="Arial" w:cs="Arial"/>
          <w:sz w:val="24"/>
          <w:szCs w:val="24"/>
        </w:rPr>
        <w:t>.</w:t>
      </w:r>
    </w:p>
    <w:sectPr w:rsidR="00570B98" w:rsidRPr="00843451"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52" w:rsidRDefault="00064F52" w:rsidP="006477C4">
      <w:pPr>
        <w:spacing w:after="0" w:line="240" w:lineRule="auto"/>
      </w:pPr>
      <w:r>
        <w:separator/>
      </w:r>
    </w:p>
  </w:endnote>
  <w:endnote w:type="continuationSeparator" w:id="0">
    <w:p w:rsidR="00064F52" w:rsidRDefault="00064F52"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52" w:rsidRDefault="00064F52" w:rsidP="006477C4">
      <w:pPr>
        <w:spacing w:after="0" w:line="240" w:lineRule="auto"/>
      </w:pPr>
      <w:r>
        <w:separator/>
      </w:r>
    </w:p>
  </w:footnote>
  <w:footnote w:type="continuationSeparator" w:id="0">
    <w:p w:rsidR="00064F52" w:rsidRDefault="00064F52"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372F8"/>
    <w:multiLevelType w:val="multilevel"/>
    <w:tmpl w:val="F6D2759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06D54"/>
    <w:multiLevelType w:val="hybridMultilevel"/>
    <w:tmpl w:val="233AA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E55621"/>
    <w:multiLevelType w:val="hybridMultilevel"/>
    <w:tmpl w:val="E8A8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AF445FA"/>
    <w:multiLevelType w:val="hybridMultilevel"/>
    <w:tmpl w:val="83DCF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CB97BF0"/>
    <w:multiLevelType w:val="hybridMultilevel"/>
    <w:tmpl w:val="16FE79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D820FAF"/>
    <w:multiLevelType w:val="multilevel"/>
    <w:tmpl w:val="D2D616F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52E2F"/>
    <w:multiLevelType w:val="hybridMultilevel"/>
    <w:tmpl w:val="19E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C22372"/>
    <w:multiLevelType w:val="multilevel"/>
    <w:tmpl w:val="4FAE2DD8"/>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05321E"/>
    <w:multiLevelType w:val="hybridMultilevel"/>
    <w:tmpl w:val="E340C6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657C96"/>
    <w:multiLevelType w:val="hybridMultilevel"/>
    <w:tmpl w:val="B324E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F070C9"/>
    <w:multiLevelType w:val="multilevel"/>
    <w:tmpl w:val="210AC77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044E3"/>
    <w:multiLevelType w:val="multilevel"/>
    <w:tmpl w:val="0746413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F5024"/>
    <w:multiLevelType w:val="multilevel"/>
    <w:tmpl w:val="5BF66D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636ACA"/>
    <w:multiLevelType w:val="hybridMultilevel"/>
    <w:tmpl w:val="12C6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71D23"/>
    <w:multiLevelType w:val="hybridMultilevel"/>
    <w:tmpl w:val="3BDC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C215F9B"/>
    <w:multiLevelType w:val="hybridMultilevel"/>
    <w:tmpl w:val="351C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992C33"/>
    <w:multiLevelType w:val="hybridMultilevel"/>
    <w:tmpl w:val="1FE03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57A9C"/>
    <w:multiLevelType w:val="multilevel"/>
    <w:tmpl w:val="0B4247E2"/>
    <w:lvl w:ilvl="0">
      <w:start w:val="16"/>
      <w:numFmt w:val="decimal"/>
      <w:lvlText w:val="%1"/>
      <w:lvlJc w:val="left"/>
      <w:pPr>
        <w:ind w:left="555" w:hanging="555"/>
      </w:pPr>
      <w:rPr>
        <w:rFonts w:hint="default"/>
      </w:rPr>
    </w:lvl>
    <w:lvl w:ilvl="1">
      <w:start w:val="18"/>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0"/>
  </w:num>
  <w:num w:numId="5">
    <w:abstractNumId w:val="26"/>
  </w:num>
  <w:num w:numId="6">
    <w:abstractNumId w:val="31"/>
  </w:num>
  <w:num w:numId="7">
    <w:abstractNumId w:val="20"/>
  </w:num>
  <w:num w:numId="8">
    <w:abstractNumId w:val="14"/>
  </w:num>
  <w:num w:numId="9">
    <w:abstractNumId w:val="12"/>
  </w:num>
  <w:num w:numId="10">
    <w:abstractNumId w:val="19"/>
  </w:num>
  <w:num w:numId="11">
    <w:abstractNumId w:val="9"/>
  </w:num>
  <w:num w:numId="12">
    <w:abstractNumId w:val="30"/>
  </w:num>
  <w:num w:numId="13">
    <w:abstractNumId w:val="22"/>
  </w:num>
  <w:num w:numId="14">
    <w:abstractNumId w:val="24"/>
  </w:num>
  <w:num w:numId="15">
    <w:abstractNumId w:val="23"/>
  </w:num>
  <w:num w:numId="16">
    <w:abstractNumId w:val="3"/>
  </w:num>
  <w:num w:numId="17">
    <w:abstractNumId w:val="1"/>
  </w:num>
  <w:num w:numId="18">
    <w:abstractNumId w:val="18"/>
  </w:num>
  <w:num w:numId="19">
    <w:abstractNumId w:val="44"/>
  </w:num>
  <w:num w:numId="20">
    <w:abstractNumId w:val="43"/>
  </w:num>
  <w:num w:numId="21">
    <w:abstractNumId w:val="36"/>
  </w:num>
  <w:num w:numId="22">
    <w:abstractNumId w:val="11"/>
  </w:num>
  <w:num w:numId="23">
    <w:abstractNumId w:val="41"/>
  </w:num>
  <w:num w:numId="24">
    <w:abstractNumId w:val="33"/>
  </w:num>
  <w:num w:numId="25">
    <w:abstractNumId w:val="34"/>
  </w:num>
  <w:num w:numId="26">
    <w:abstractNumId w:val="28"/>
  </w:num>
  <w:num w:numId="27">
    <w:abstractNumId w:val="29"/>
  </w:num>
  <w:num w:numId="28">
    <w:abstractNumId w:val="40"/>
  </w:num>
  <w:num w:numId="29">
    <w:abstractNumId w:val="10"/>
  </w:num>
  <w:num w:numId="30">
    <w:abstractNumId w:val="7"/>
  </w:num>
  <w:num w:numId="31">
    <w:abstractNumId w:val="5"/>
  </w:num>
  <w:num w:numId="32">
    <w:abstractNumId w:val="13"/>
  </w:num>
  <w:num w:numId="33">
    <w:abstractNumId w:val="38"/>
  </w:num>
  <w:num w:numId="34">
    <w:abstractNumId w:val="21"/>
  </w:num>
  <w:num w:numId="35">
    <w:abstractNumId w:val="46"/>
  </w:num>
  <w:num w:numId="36">
    <w:abstractNumId w:val="8"/>
  </w:num>
  <w:num w:numId="37">
    <w:abstractNumId w:val="32"/>
  </w:num>
  <w:num w:numId="38">
    <w:abstractNumId w:val="37"/>
  </w:num>
  <w:num w:numId="39">
    <w:abstractNumId w:val="35"/>
  </w:num>
  <w:num w:numId="40">
    <w:abstractNumId w:val="2"/>
  </w:num>
  <w:num w:numId="41">
    <w:abstractNumId w:val="27"/>
  </w:num>
  <w:num w:numId="42">
    <w:abstractNumId w:val="42"/>
  </w:num>
  <w:num w:numId="43">
    <w:abstractNumId w:val="16"/>
  </w:num>
  <w:num w:numId="44">
    <w:abstractNumId w:val="4"/>
  </w:num>
  <w:num w:numId="45">
    <w:abstractNumId w:val="39"/>
  </w:num>
  <w:num w:numId="46">
    <w:abstractNumId w:val="45"/>
  </w:num>
  <w:num w:numId="47">
    <w:abstractNumId w:val="15"/>
  </w:num>
  <w:num w:numId="48">
    <w:abstractNumId w:val="2"/>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2661"/>
    <w:rsid w:val="00007C12"/>
    <w:rsid w:val="000174AF"/>
    <w:rsid w:val="00025251"/>
    <w:rsid w:val="000254A5"/>
    <w:rsid w:val="00033129"/>
    <w:rsid w:val="00045490"/>
    <w:rsid w:val="000569CE"/>
    <w:rsid w:val="00064F52"/>
    <w:rsid w:val="000808C4"/>
    <w:rsid w:val="00082CBD"/>
    <w:rsid w:val="0009089A"/>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81DA6"/>
    <w:rsid w:val="00194045"/>
    <w:rsid w:val="001B02CA"/>
    <w:rsid w:val="001B0D88"/>
    <w:rsid w:val="001B1707"/>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68A5"/>
    <w:rsid w:val="002774CB"/>
    <w:rsid w:val="00297392"/>
    <w:rsid w:val="002A4FD8"/>
    <w:rsid w:val="002C6430"/>
    <w:rsid w:val="002C684A"/>
    <w:rsid w:val="002C709B"/>
    <w:rsid w:val="002D2856"/>
    <w:rsid w:val="002E182A"/>
    <w:rsid w:val="00300817"/>
    <w:rsid w:val="00332B8E"/>
    <w:rsid w:val="00342F5F"/>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D6853"/>
    <w:rsid w:val="004E5BB0"/>
    <w:rsid w:val="004F4629"/>
    <w:rsid w:val="00507C0C"/>
    <w:rsid w:val="00541AD1"/>
    <w:rsid w:val="00570B98"/>
    <w:rsid w:val="00575253"/>
    <w:rsid w:val="005774B5"/>
    <w:rsid w:val="005934CB"/>
    <w:rsid w:val="005B0A82"/>
    <w:rsid w:val="005B14B5"/>
    <w:rsid w:val="005B39E7"/>
    <w:rsid w:val="005D3F2F"/>
    <w:rsid w:val="005D48BA"/>
    <w:rsid w:val="005E2CDA"/>
    <w:rsid w:val="006053FD"/>
    <w:rsid w:val="00614A0B"/>
    <w:rsid w:val="00620C03"/>
    <w:rsid w:val="00641BAD"/>
    <w:rsid w:val="006477C4"/>
    <w:rsid w:val="006625D7"/>
    <w:rsid w:val="006735B1"/>
    <w:rsid w:val="00691DAE"/>
    <w:rsid w:val="00694D16"/>
    <w:rsid w:val="00696192"/>
    <w:rsid w:val="006A7A1C"/>
    <w:rsid w:val="006B5220"/>
    <w:rsid w:val="006C5342"/>
    <w:rsid w:val="006D204A"/>
    <w:rsid w:val="006D23C3"/>
    <w:rsid w:val="006D7D1C"/>
    <w:rsid w:val="006E1F95"/>
    <w:rsid w:val="00711B85"/>
    <w:rsid w:val="00731A30"/>
    <w:rsid w:val="0073681F"/>
    <w:rsid w:val="00747983"/>
    <w:rsid w:val="00754E33"/>
    <w:rsid w:val="00760396"/>
    <w:rsid w:val="00767F03"/>
    <w:rsid w:val="0078130C"/>
    <w:rsid w:val="007B7562"/>
    <w:rsid w:val="007C3AC4"/>
    <w:rsid w:val="007C408E"/>
    <w:rsid w:val="007C47E3"/>
    <w:rsid w:val="007C7413"/>
    <w:rsid w:val="007D102C"/>
    <w:rsid w:val="007D133B"/>
    <w:rsid w:val="007D3FAB"/>
    <w:rsid w:val="007D5FA8"/>
    <w:rsid w:val="007F2438"/>
    <w:rsid w:val="00804BBB"/>
    <w:rsid w:val="00816491"/>
    <w:rsid w:val="0082144D"/>
    <w:rsid w:val="00833912"/>
    <w:rsid w:val="00843451"/>
    <w:rsid w:val="00844D91"/>
    <w:rsid w:val="008625D2"/>
    <w:rsid w:val="008749CA"/>
    <w:rsid w:val="00875E06"/>
    <w:rsid w:val="00882260"/>
    <w:rsid w:val="008C114E"/>
    <w:rsid w:val="008C2291"/>
    <w:rsid w:val="008C6CB5"/>
    <w:rsid w:val="008E1F86"/>
    <w:rsid w:val="008E7766"/>
    <w:rsid w:val="00932308"/>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02ED"/>
    <w:rsid w:val="00A3299F"/>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84A95"/>
    <w:rsid w:val="00B9148D"/>
    <w:rsid w:val="00B940A7"/>
    <w:rsid w:val="00B94684"/>
    <w:rsid w:val="00B953F4"/>
    <w:rsid w:val="00B972B8"/>
    <w:rsid w:val="00BA1236"/>
    <w:rsid w:val="00BC0B9A"/>
    <w:rsid w:val="00BC6B8B"/>
    <w:rsid w:val="00BD2464"/>
    <w:rsid w:val="00BD5D30"/>
    <w:rsid w:val="00BF02EC"/>
    <w:rsid w:val="00C0787F"/>
    <w:rsid w:val="00C1035F"/>
    <w:rsid w:val="00C16FBA"/>
    <w:rsid w:val="00C2549F"/>
    <w:rsid w:val="00C47B5E"/>
    <w:rsid w:val="00C5017A"/>
    <w:rsid w:val="00C54846"/>
    <w:rsid w:val="00C57949"/>
    <w:rsid w:val="00C868C3"/>
    <w:rsid w:val="00CB143E"/>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61529"/>
    <w:rsid w:val="00D637C0"/>
    <w:rsid w:val="00D73E40"/>
    <w:rsid w:val="00D77F80"/>
    <w:rsid w:val="00D927CE"/>
    <w:rsid w:val="00DA38B8"/>
    <w:rsid w:val="00DC12F3"/>
    <w:rsid w:val="00DC7B3C"/>
    <w:rsid w:val="00DD048C"/>
    <w:rsid w:val="00DD0DCE"/>
    <w:rsid w:val="00DD4184"/>
    <w:rsid w:val="00DE681E"/>
    <w:rsid w:val="00E0271B"/>
    <w:rsid w:val="00E046B7"/>
    <w:rsid w:val="00E04DC0"/>
    <w:rsid w:val="00E073A7"/>
    <w:rsid w:val="00E12270"/>
    <w:rsid w:val="00E34A27"/>
    <w:rsid w:val="00E35F57"/>
    <w:rsid w:val="00E40AB5"/>
    <w:rsid w:val="00E41A63"/>
    <w:rsid w:val="00E45485"/>
    <w:rsid w:val="00E51AAB"/>
    <w:rsid w:val="00E60533"/>
    <w:rsid w:val="00E7402A"/>
    <w:rsid w:val="00E933B7"/>
    <w:rsid w:val="00E97F78"/>
    <w:rsid w:val="00EA24D4"/>
    <w:rsid w:val="00EB26C1"/>
    <w:rsid w:val="00EB4C57"/>
    <w:rsid w:val="00EC6CD4"/>
    <w:rsid w:val="00ED1F15"/>
    <w:rsid w:val="00ED5BD3"/>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2305E-2F36-4CE2-B97F-7E4BCE26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AB"/>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370">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ostello-smith@pre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9C3B-8E3E-4A0A-9174-87A6BA90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4</cp:revision>
  <cp:lastPrinted>2016-07-15T14:30:00Z</cp:lastPrinted>
  <dcterms:created xsi:type="dcterms:W3CDTF">2016-07-21T14:39:00Z</dcterms:created>
  <dcterms:modified xsi:type="dcterms:W3CDTF">2016-07-22T09:01:00Z</dcterms:modified>
</cp:coreProperties>
</file>